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AFF61">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outlineLvl w:val="0"/>
        <w:rPr>
          <w:rFonts w:hint="default"/>
          <w:lang w:val="en-US" w:eastAsia="zh-CN"/>
        </w:rPr>
      </w:pPr>
      <w:bookmarkStart w:id="0" w:name="_Toc21542"/>
      <w:bookmarkStart w:id="1" w:name="_Toc19847"/>
      <w:bookmarkStart w:id="2" w:name="_Toc13769"/>
      <w:bookmarkStart w:id="3" w:name="_Toc32187"/>
      <w:r>
        <w:rPr>
          <w:rFonts w:hint="eastAsia"/>
          <w:b/>
          <w:bCs/>
          <w:sz w:val="30"/>
          <w:szCs w:val="30"/>
          <w:lang w:val="en-US" w:eastAsia="zh-CN"/>
        </w:rPr>
        <w:t>药物临床试验伦理审查申请/报告指南</w:t>
      </w:r>
      <w:bookmarkEnd w:id="0"/>
      <w:bookmarkEnd w:id="1"/>
      <w:bookmarkEnd w:id="2"/>
      <w:bookmarkEnd w:id="3"/>
    </w:p>
    <w:p w14:paraId="5F2B8F46">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cs="Times New Roman"/>
          <w:b/>
          <w:bCs/>
          <w:sz w:val="21"/>
          <w:szCs w:val="21"/>
          <w:lang w:val="en-US" w:eastAsia="zh-CN"/>
        </w:rPr>
      </w:pPr>
      <w:bookmarkStart w:id="4" w:name="_Toc3009"/>
      <w:r>
        <w:rPr>
          <w:rFonts w:hint="default" w:ascii="Times New Roman" w:hAnsi="Times New Roman" w:cs="Times New Roman"/>
          <w:b/>
          <w:bCs/>
          <w:sz w:val="21"/>
          <w:szCs w:val="21"/>
          <w:lang w:val="en-US" w:eastAsia="zh-CN"/>
        </w:rPr>
        <w:t>Ⅰ</w:t>
      </w:r>
      <w:r>
        <w:rPr>
          <w:rFonts w:hint="eastAsia" w:ascii="Times New Roman" w:hAnsi="Times New Roman" w:cs="Times New Roman"/>
          <w:b/>
          <w:bCs/>
          <w:sz w:val="21"/>
          <w:szCs w:val="21"/>
          <w:lang w:val="en-US" w:eastAsia="zh-CN"/>
        </w:rPr>
        <w:t xml:space="preserve"> 目的</w:t>
      </w:r>
      <w:bookmarkEnd w:id="4"/>
    </w:p>
    <w:p w14:paraId="4CFFBE97">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9"/>
        <w:rPr>
          <w:rFonts w:hint="default" w:ascii="Times New Roman" w:hAnsi="Times New Roman" w:cs="Times New Roman"/>
          <w:b w:val="0"/>
          <w:bCs w:val="0"/>
          <w:sz w:val="21"/>
          <w:szCs w:val="21"/>
          <w:lang w:val="en-US" w:eastAsia="zh-CN"/>
        </w:rPr>
      </w:pPr>
      <w:bookmarkStart w:id="5" w:name="_Toc16045"/>
      <w:r>
        <w:rPr>
          <w:rFonts w:hint="eastAsia" w:ascii="Times New Roman" w:hAnsi="Times New Roman" w:cs="Times New Roman"/>
          <w:b w:val="0"/>
          <w:bCs w:val="0"/>
          <w:sz w:val="21"/>
          <w:szCs w:val="21"/>
          <w:lang w:val="en-US" w:eastAsia="zh-CN"/>
        </w:rPr>
        <w:t>为指导主要研究者/申办者提交药物临床试验项目的伦理审查申请/报告，特制订本指南。</w:t>
      </w:r>
      <w:bookmarkEnd w:id="5"/>
    </w:p>
    <w:p w14:paraId="1BFF22DB">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9"/>
        <w:rPr>
          <w:rFonts w:hint="default" w:ascii="Times New Roman" w:hAnsi="Times New Roman" w:cs="Times New Roman"/>
          <w:b w:val="0"/>
          <w:bCs w:val="0"/>
          <w:sz w:val="21"/>
          <w:szCs w:val="21"/>
          <w:lang w:val="en-US" w:eastAsia="zh-CN"/>
        </w:rPr>
      </w:pPr>
    </w:p>
    <w:p w14:paraId="4B0E779F">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cs="Times New Roman"/>
          <w:b/>
          <w:bCs/>
          <w:sz w:val="21"/>
          <w:szCs w:val="21"/>
          <w:lang w:val="en-US" w:eastAsia="zh-CN"/>
        </w:rPr>
      </w:pPr>
      <w:bookmarkStart w:id="6" w:name="_Toc23921"/>
      <w:r>
        <w:rPr>
          <w:rFonts w:hint="default" w:ascii="Times New Roman" w:hAnsi="Times New Roman" w:cs="Times New Roman"/>
          <w:b/>
          <w:bCs/>
          <w:sz w:val="21"/>
          <w:szCs w:val="21"/>
          <w:lang w:val="en-US" w:eastAsia="zh-CN"/>
        </w:rPr>
        <w:t>Ⅱ</w:t>
      </w:r>
      <w:r>
        <w:rPr>
          <w:rFonts w:hint="eastAsia" w:ascii="Times New Roman" w:hAnsi="Times New Roman" w:cs="Times New Roman"/>
          <w:b/>
          <w:bCs/>
          <w:sz w:val="21"/>
          <w:szCs w:val="21"/>
          <w:lang w:val="en-US" w:eastAsia="zh-CN"/>
        </w:rPr>
        <w:t xml:space="preserve"> 范围</w:t>
      </w:r>
      <w:bookmarkEnd w:id="6"/>
    </w:p>
    <w:p w14:paraId="1B6F5BD2">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9"/>
        <w:rPr>
          <w:rFonts w:hint="default" w:ascii="Times New Roman" w:hAnsi="Times New Roman" w:cs="Times New Roman"/>
          <w:b w:val="0"/>
          <w:bCs w:val="0"/>
          <w:sz w:val="21"/>
          <w:szCs w:val="21"/>
          <w:lang w:val="en-US" w:eastAsia="zh-CN"/>
        </w:rPr>
      </w:pPr>
      <w:bookmarkStart w:id="7" w:name="_Toc17340"/>
      <w:r>
        <w:rPr>
          <w:rFonts w:hint="eastAsia" w:ascii="Times New Roman" w:hAnsi="Times New Roman" w:cs="Times New Roman"/>
          <w:b w:val="0"/>
          <w:bCs w:val="0"/>
          <w:sz w:val="21"/>
          <w:szCs w:val="21"/>
          <w:lang w:val="en-US" w:eastAsia="zh-CN"/>
        </w:rPr>
        <w:t>适用</w:t>
      </w:r>
      <w:r>
        <w:rPr>
          <w:rFonts w:hint="default" w:ascii="Times New Roman" w:hAnsi="Times New Roman" w:cs="Times New Roman"/>
          <w:b w:val="0"/>
          <w:bCs w:val="0"/>
          <w:sz w:val="21"/>
          <w:szCs w:val="21"/>
          <w:lang w:val="en-US" w:eastAsia="zh-CN"/>
        </w:rPr>
        <w:t>于</w:t>
      </w:r>
      <w:r>
        <w:rPr>
          <w:rFonts w:hint="eastAsia" w:ascii="Times New Roman" w:hAnsi="Times New Roman" w:cs="Times New Roman"/>
          <w:b w:val="0"/>
          <w:bCs w:val="0"/>
          <w:sz w:val="21"/>
          <w:szCs w:val="21"/>
          <w:lang w:val="en-US" w:eastAsia="zh-CN"/>
        </w:rPr>
        <w:t>主要研究者提交相关申请/报告流程的工作</w:t>
      </w:r>
      <w:r>
        <w:rPr>
          <w:rFonts w:hint="default" w:ascii="Times New Roman" w:hAnsi="Times New Roman" w:cs="Times New Roman"/>
          <w:b w:val="0"/>
          <w:bCs w:val="0"/>
          <w:sz w:val="21"/>
          <w:szCs w:val="21"/>
          <w:lang w:val="en-US" w:eastAsia="zh-CN"/>
        </w:rPr>
        <w:t>。</w:t>
      </w:r>
      <w:bookmarkEnd w:id="7"/>
    </w:p>
    <w:p w14:paraId="26EF7591">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9"/>
        <w:rPr>
          <w:rFonts w:hint="default" w:ascii="Times New Roman" w:hAnsi="Times New Roman" w:cs="Times New Roman"/>
          <w:b w:val="0"/>
          <w:bCs w:val="0"/>
          <w:sz w:val="21"/>
          <w:szCs w:val="21"/>
          <w:lang w:val="en-US" w:eastAsia="zh-CN"/>
        </w:rPr>
      </w:pPr>
    </w:p>
    <w:p w14:paraId="20D13BAB">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default"/>
          <w:sz w:val="21"/>
          <w:szCs w:val="21"/>
          <w:lang w:val="en-US" w:eastAsia="zh-CN"/>
        </w:rPr>
      </w:pPr>
      <w:r>
        <w:rPr>
          <w:rFonts w:hint="default" w:ascii="Times New Roman" w:hAnsi="Times New Roman" w:cs="Times New Roman"/>
          <w:b/>
          <w:bCs/>
          <w:sz w:val="21"/>
          <w:szCs w:val="21"/>
          <w:lang w:val="en-US" w:eastAsia="zh-CN"/>
        </w:rPr>
        <w:t>Ⅲ</w:t>
      </w:r>
      <w:r>
        <w:rPr>
          <w:rFonts w:hint="eastAsia" w:ascii="Times New Roman" w:hAnsi="Times New Roman" w:cs="Times New Roman"/>
          <w:b/>
          <w:bCs/>
          <w:sz w:val="21"/>
          <w:szCs w:val="21"/>
          <w:lang w:val="en-US" w:eastAsia="zh-CN"/>
        </w:rPr>
        <w:t xml:space="preserve"> 具体内容</w:t>
      </w:r>
    </w:p>
    <w:p w14:paraId="5E756937">
      <w:pPr>
        <w:keepNext w:val="0"/>
        <w:keepLines w:val="0"/>
        <w:pageBreakBefore w:val="0"/>
        <w:widowControl w:val="0"/>
        <w:numPr>
          <w:ilvl w:val="0"/>
          <w:numId w:val="1"/>
        </w:numPr>
        <w:kinsoku/>
        <w:wordWrap/>
        <w:overflowPunct/>
        <w:topLinePunct w:val="0"/>
        <w:autoSpaceDE/>
        <w:autoSpaceDN/>
        <w:bidi w:val="0"/>
        <w:adjustRightInd/>
        <w:snapToGrid/>
        <w:spacing w:line="440" w:lineRule="exact"/>
        <w:textAlignment w:val="auto"/>
        <w:outlineLvl w:val="9"/>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提交伦理审查的研究项目范围</w:t>
      </w:r>
    </w:p>
    <w:p w14:paraId="2237679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cs="Times New Roman" w:eastAsiaTheme="minorEastAsia"/>
          <w:sz w:val="21"/>
          <w:szCs w:val="21"/>
          <w:lang w:eastAsia="zh-CN"/>
        </w:rPr>
      </w:pPr>
      <w:r>
        <w:rPr>
          <w:rFonts w:hint="default" w:ascii="Times New Roman" w:hAnsi="Times New Roman" w:cs="Times New Roman"/>
          <w:sz w:val="21"/>
          <w:szCs w:val="21"/>
        </w:rPr>
        <w:t>根据</w:t>
      </w:r>
      <w:r>
        <w:rPr>
          <w:rFonts w:hint="default" w:ascii="Times New Roman" w:hAnsi="Times New Roman" w:eastAsia="宋体" w:cs="Times New Roman"/>
          <w:b w:val="0"/>
          <w:bCs w:val="0"/>
          <w:color w:val="auto"/>
          <w:sz w:val="21"/>
          <w:szCs w:val="21"/>
          <w:lang w:val="en-US" w:eastAsia="zh-CN"/>
        </w:rPr>
        <w:t>国家药品监督管理局、国家卫生健康委、国家中医药管理局、国家疾病预防控制局</w:t>
      </w:r>
      <w:r>
        <w:rPr>
          <w:rFonts w:hint="default" w:ascii="Times New Roman" w:hAnsi="Times New Roman" w:cs="Times New Roman"/>
          <w:sz w:val="21"/>
          <w:szCs w:val="21"/>
        </w:rPr>
        <w:t>《药物临床试验质量管理规范》（202</w:t>
      </w:r>
      <w:r>
        <w:rPr>
          <w:rFonts w:hint="eastAsia" w:ascii="Times New Roman" w:hAnsi="Times New Roman" w:cs="Times New Roman"/>
          <w:sz w:val="21"/>
          <w:szCs w:val="21"/>
          <w:lang w:val="en-US" w:eastAsia="zh-CN"/>
        </w:rPr>
        <w:t>6</w:t>
      </w:r>
      <w:r>
        <w:rPr>
          <w:rFonts w:hint="default" w:ascii="Times New Roman" w:hAnsi="Times New Roman" w:cs="Times New Roman"/>
          <w:sz w:val="21"/>
          <w:szCs w:val="21"/>
        </w:rPr>
        <w:t>版）</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国家药品监督管理局《药物临床试验伦理审查工作指导原则》(2010版)</w:t>
      </w:r>
      <w:r>
        <w:rPr>
          <w:rFonts w:hint="eastAsia" w:ascii="Times New Roman" w:hAnsi="Times New Roman" w:cs="Times New Roman"/>
          <w:sz w:val="21"/>
          <w:szCs w:val="21"/>
          <w:lang w:eastAsia="zh-CN"/>
        </w:rPr>
        <w:t>，国家卫生健康委、教育部、科技部、国家中医药局《涉及人的生命科学和医学研究伦理审查办法》（2023版），国家中医药管理局《中医药临床研究伦理审查管理规范》(2010版）</w:t>
      </w:r>
      <w:r>
        <w:rPr>
          <w:rFonts w:hint="default" w:ascii="Times New Roman" w:hAnsi="Times New Roman" w:cs="Times New Roman"/>
          <w:sz w:val="21"/>
          <w:szCs w:val="21"/>
        </w:rPr>
        <w:t>，</w:t>
      </w:r>
      <w:r>
        <w:rPr>
          <w:rFonts w:hint="eastAsia" w:ascii="Times New Roman" w:hAnsi="Times New Roman" w:cs="Times New Roman"/>
          <w:sz w:val="21"/>
          <w:szCs w:val="21"/>
          <w:lang w:val="en-US" w:eastAsia="zh-CN"/>
        </w:rPr>
        <w:t>属于药物临床试验范围内</w:t>
      </w:r>
      <w:r>
        <w:rPr>
          <w:rFonts w:hint="default" w:ascii="Times New Roman" w:hAnsi="Times New Roman" w:cs="Times New Roman"/>
          <w:sz w:val="21"/>
          <w:szCs w:val="21"/>
        </w:rPr>
        <w:t>的研究项目应依据本指南提交伦理审查申请/报告</w:t>
      </w:r>
      <w:r>
        <w:rPr>
          <w:rFonts w:hint="eastAsia" w:ascii="Times New Roman" w:hAnsi="Times New Roman" w:cs="Times New Roman"/>
          <w:sz w:val="21"/>
          <w:szCs w:val="21"/>
          <w:lang w:eastAsia="zh-CN"/>
        </w:rPr>
        <w:t>。</w:t>
      </w:r>
    </w:p>
    <w:p w14:paraId="24E1D5D8">
      <w:pPr>
        <w:keepNext w:val="0"/>
        <w:keepLines w:val="0"/>
        <w:pageBreakBefore w:val="0"/>
        <w:widowControl w:val="0"/>
        <w:numPr>
          <w:ilvl w:val="0"/>
          <w:numId w:val="1"/>
        </w:numPr>
        <w:kinsoku/>
        <w:wordWrap/>
        <w:overflowPunct/>
        <w:topLinePunct w:val="0"/>
        <w:autoSpaceDE/>
        <w:autoSpaceDN/>
        <w:bidi w:val="0"/>
        <w:adjustRightInd/>
        <w:snapToGrid/>
        <w:spacing w:line="440" w:lineRule="exact"/>
        <w:textAlignment w:val="auto"/>
        <w:outlineLvl w:val="9"/>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伦理审查申请/报告的类别</w:t>
      </w:r>
    </w:p>
    <w:p w14:paraId="1E1D3AEC">
      <w:pPr>
        <w:keepNext w:val="0"/>
        <w:keepLines w:val="0"/>
        <w:pageBreakBefore w:val="0"/>
        <w:widowControl w:val="0"/>
        <w:numPr>
          <w:ilvl w:val="0"/>
          <w:numId w:val="2"/>
        </w:numPr>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初始审查</w:t>
      </w:r>
    </w:p>
    <w:p w14:paraId="1B492DD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符合上述范围的研究项目，应在研究开始前提交伦理审查申请，经批准后方可实施。“初始审查申请”是指首次向伦理审查委员会提交的审查申请。主要包括会议审查和简易程序审查。</w:t>
      </w:r>
    </w:p>
    <w:p w14:paraId="61B3D3F7">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会议审查：</w:t>
      </w:r>
      <w:r>
        <w:rPr>
          <w:rFonts w:hint="eastAsia" w:ascii="宋体" w:hAnsi="宋体" w:eastAsia="宋体" w:cs="宋体"/>
          <w:i w:val="0"/>
          <w:iCs w:val="0"/>
          <w:caps w:val="0"/>
          <w:color w:val="auto"/>
          <w:spacing w:val="0"/>
          <w:sz w:val="21"/>
          <w:szCs w:val="21"/>
          <w:shd w:val="clear" w:fill="FFFFFF"/>
        </w:rPr>
        <w:t>主要研究者必须到会向伦理委员介绍拟实施项目的研究方案，接受</w:t>
      </w:r>
      <w:r>
        <w:rPr>
          <w:rFonts w:hint="eastAsia" w:ascii="宋体" w:hAnsi="宋体" w:eastAsia="宋体" w:cs="宋体"/>
          <w:i w:val="0"/>
          <w:iCs w:val="0"/>
          <w:caps w:val="0"/>
          <w:color w:val="auto"/>
          <w:spacing w:val="0"/>
          <w:sz w:val="21"/>
          <w:szCs w:val="21"/>
          <w:shd w:val="clear" w:fill="FFFFFF"/>
          <w:lang w:val="en-US" w:eastAsia="zh-CN"/>
        </w:rPr>
        <w:t>伦理</w:t>
      </w:r>
      <w:r>
        <w:rPr>
          <w:rFonts w:hint="eastAsia" w:ascii="宋体" w:hAnsi="宋体" w:eastAsia="宋体" w:cs="宋体"/>
          <w:i w:val="0"/>
          <w:iCs w:val="0"/>
          <w:caps w:val="0"/>
          <w:color w:val="auto"/>
          <w:spacing w:val="0"/>
          <w:sz w:val="21"/>
          <w:szCs w:val="21"/>
          <w:shd w:val="clear" w:fill="FFFFFF"/>
        </w:rPr>
        <w:t>委员、独立技术顾问的质疑并答辩，或对特定问题作详细说明，然后由</w:t>
      </w:r>
      <w:r>
        <w:rPr>
          <w:rFonts w:hint="eastAsia" w:ascii="宋体" w:hAnsi="宋体" w:eastAsia="宋体" w:cs="宋体"/>
          <w:i w:val="0"/>
          <w:iCs w:val="0"/>
          <w:caps w:val="0"/>
          <w:color w:val="auto"/>
          <w:spacing w:val="0"/>
          <w:sz w:val="21"/>
          <w:szCs w:val="21"/>
          <w:shd w:val="clear" w:fill="FFFFFF"/>
          <w:lang w:val="en-US" w:eastAsia="zh-CN"/>
        </w:rPr>
        <w:t>伦理</w:t>
      </w:r>
      <w:r>
        <w:rPr>
          <w:rFonts w:hint="eastAsia" w:ascii="宋体" w:hAnsi="宋体" w:eastAsia="宋体" w:cs="宋体"/>
          <w:i w:val="0"/>
          <w:iCs w:val="0"/>
          <w:caps w:val="0"/>
          <w:color w:val="auto"/>
          <w:spacing w:val="0"/>
          <w:sz w:val="21"/>
          <w:szCs w:val="21"/>
          <w:shd w:val="clear" w:fill="FFFFFF"/>
        </w:rPr>
        <w:t>委员独立投票表决审查结果。</w:t>
      </w:r>
    </w:p>
    <w:p w14:paraId="581DEC47">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简易程序审查：在符合简易程序审查条件下，由三名委员负责研究项目的审查，审查结果在下次会议上通报的方式。</w:t>
      </w:r>
    </w:p>
    <w:p w14:paraId="1A93BB27">
      <w:pPr>
        <w:keepNext w:val="0"/>
        <w:keepLines w:val="0"/>
        <w:pageBreakBefore w:val="0"/>
        <w:widowControl w:val="0"/>
        <w:numPr>
          <w:ilvl w:val="0"/>
          <w:numId w:val="2"/>
        </w:numPr>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跟踪审查</w:t>
      </w:r>
    </w:p>
    <w:p w14:paraId="4969A4E1">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修正案审查申请：研究过程中若变更主要研究者，对临床研究方案、知情同意书、招募材料等的任何修改，应向伦理审查委员会提交修正案审查申请，经批准后执行。为避免研究对试验参与者的即刻危险，研究者可在伦理审查委员会批准前修改研究方案，事后应将修改研究方案的情况及原因，以“修正案审查申请”的方式，1周内提交伦理审查委员会审查。</w:t>
      </w:r>
    </w:p>
    <w:p w14:paraId="3020B1DB">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研究进展报告：应按照伦理审查意见规定的年度/定期跟踪审查频率，在截止日期前1个月提交年度/定期跟踪审查报告；申办者应当向组长单位伦理审查委员会提交各中心研究进展的汇总报告；当出现任何可能显著影响研究进行或增加试验参与者危险的情况时，应以“年度/定期跟踪审查报告”的方式，1周内报告伦理审查委员会。如果伦理审查意见函有效期到期如需要申请延长意见有效期，应通过“研究进展报告”申请。</w:t>
      </w:r>
    </w:p>
    <w:p w14:paraId="2A6DE28B">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严重不良事件报告/SUSAR报告：</w:t>
      </w:r>
    </w:p>
    <w:p w14:paraId="61A44730">
      <w:pPr>
        <w:keepNext w:val="0"/>
        <w:keepLines w:val="0"/>
        <w:pageBreakBefore w:val="0"/>
        <w:widowControl w:val="0"/>
        <w:numPr>
          <w:ilvl w:val="2"/>
          <w:numId w:val="2"/>
        </w:numPr>
        <w:kinsoku/>
        <w:wordWrap/>
        <w:overflowPunct/>
        <w:topLinePunct w:val="0"/>
        <w:autoSpaceDE/>
        <w:autoSpaceDN/>
        <w:bidi w:val="0"/>
        <w:adjustRightInd/>
        <w:snapToGrid/>
        <w:spacing w:line="440" w:lineRule="exact"/>
        <w:ind w:left="0" w:leftChars="0" w:firstLine="840" w:firstLineChars="400"/>
        <w:textAlignment w:val="auto"/>
        <w:rPr>
          <w:rFonts w:hint="eastAsia"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严重不良事件（SAE）是指在任何剂量下出现的被认为是严重的不利的医学事件：导致死亡、危及生命、需要住院治疗或者延长住院时间、导致永久或者严重的残疾或者功能丧失、先天性异常或者出生缺陷对于虽然可能不会立即危及生命、导致死亡或住院，但可能损害试验参与者或可能需要干预以防止严重后果发生的重要医学事件（参见 ICH E2A 和 E19），通常应被视为严重不良事件。</w:t>
      </w:r>
    </w:p>
    <w:p w14:paraId="51FBC95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400"/>
        <w:textAlignment w:val="auto"/>
        <w:rPr>
          <w:rFonts w:hint="eastAsia" w:ascii="Times New Roman" w:hAnsi="Times New Roman" w:cs="Times New Roman"/>
          <w:sz w:val="21"/>
          <w:szCs w:val="21"/>
          <w:highlight w:val="yellow"/>
          <w:lang w:val="en-US" w:eastAsia="zh-CN"/>
        </w:rPr>
      </w:pPr>
      <w:r>
        <w:rPr>
          <w:rFonts w:hint="eastAsia" w:ascii="Times New Roman" w:hAnsi="Times New Roman" w:cs="Times New Roman"/>
          <w:sz w:val="21"/>
          <w:szCs w:val="21"/>
          <w:highlight w:val="none"/>
          <w:lang w:val="en-US" w:eastAsia="zh-CN"/>
        </w:rPr>
        <w:t>本院发生的SAE，研究者应在获知后24小时内向伦理审查委员会书面报告，随后应当及时向申办者/伦理审查委员会提供详尽、书面的随访报告。申办者收到任何来源的安全性相关信息后，均应当立即分析评估，包括严重性、与试验药物的相关性以及是否为预期事件等。研究者收到申办者提供的临床试验的相关安全性信息后应当及时签收阅读，并考虑试验参与者的治疗，是否进行相应调整，必要时尽早与试验参与者沟通，并应当向伦理审查委员会报告由申办者提供的SUSAR。涉及死亡事件的报告，研究者应当向伦理审查委员会提供其他所需要的资料，如尸检报告和最终医学报告。非本中心发生的SAE，申办者应按每半年向伦理审查委员会汇总报告一次，【文件命名格式：XXX的SAE汇总行列表（20XX年XX月XX日—20XX年XX月XX日）】。</w:t>
      </w:r>
    </w:p>
    <w:p w14:paraId="0C6705B5">
      <w:pPr>
        <w:keepNext w:val="0"/>
        <w:keepLines w:val="0"/>
        <w:pageBreakBefore w:val="0"/>
        <w:widowControl w:val="0"/>
        <w:numPr>
          <w:ilvl w:val="2"/>
          <w:numId w:val="2"/>
        </w:numPr>
        <w:kinsoku/>
        <w:wordWrap/>
        <w:overflowPunct/>
        <w:topLinePunct w:val="0"/>
        <w:autoSpaceDE/>
        <w:autoSpaceDN/>
        <w:bidi w:val="0"/>
        <w:adjustRightInd/>
        <w:snapToGrid/>
        <w:spacing w:line="440" w:lineRule="exact"/>
        <w:ind w:left="0" w:leftChars="0" w:firstLine="840" w:firstLineChars="400"/>
        <w:textAlignment w:val="auto"/>
        <w:rPr>
          <w:rFonts w:hint="default"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可疑且非预期严重不良反应（Suspected Unexpected Serious Adverse Reaction, SUSAR）是指</w:t>
      </w:r>
      <w:r>
        <w:rPr>
          <w:rFonts w:hint="default" w:ascii="Times New Roman" w:hAnsi="Times New Roman" w:cs="Times New Roman"/>
          <w:sz w:val="21"/>
          <w:szCs w:val="21"/>
          <w:highlight w:val="none"/>
          <w:lang w:val="en-US" w:eastAsia="zh-CN"/>
        </w:rPr>
        <w:t>满足可疑、非预期和严重三个标准的不良反应。可疑：存在由药物引起不良反应的合理可能性。非预期：不良反应的性质或严重程度同已有的药品信息（例如研究者手册或按照适用监管要求的其替代文件;参见 RSI）不符。严重：见上文SAE的定义。</w:t>
      </w:r>
    </w:p>
    <w:p w14:paraId="4DE5000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400"/>
        <w:textAlignment w:val="auto"/>
        <w:rPr>
          <w:rFonts w:hint="eastAsia"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u w:val="none"/>
          <w:lang w:val="en-US" w:eastAsia="zh-CN"/>
        </w:rPr>
        <w:t>本中心SUSAR：</w:t>
      </w:r>
      <w:r>
        <w:rPr>
          <w:rFonts w:hint="default" w:ascii="Times New Roman" w:hAnsi="Times New Roman" w:cs="Times New Roman"/>
          <w:sz w:val="21"/>
          <w:szCs w:val="21"/>
          <w:highlight w:val="none"/>
          <w:lang w:val="en-US" w:eastAsia="zh-CN"/>
        </w:rPr>
        <w:t>研究者</w:t>
      </w:r>
      <w:r>
        <w:rPr>
          <w:rFonts w:hint="eastAsia" w:ascii="Times New Roman" w:hAnsi="Times New Roman" w:cs="Times New Roman"/>
          <w:sz w:val="21"/>
          <w:szCs w:val="21"/>
          <w:highlight w:val="none"/>
          <w:lang w:val="en-US" w:eastAsia="zh-CN"/>
        </w:rPr>
        <w:t>应及时提交本中心的SUSAR处理报告和由申办者提供的SUSAR个例报告给伦理审查委员会，仅接受纸质版。本中心SUSAR遵循“快速报告”，</w:t>
      </w:r>
      <w:r>
        <w:rPr>
          <w:rFonts w:hint="default" w:ascii="Times New Roman" w:hAnsi="Times New Roman" w:cs="Times New Roman"/>
          <w:sz w:val="21"/>
          <w:szCs w:val="21"/>
          <w:highlight w:val="none"/>
          <w:lang w:val="en-US" w:eastAsia="zh-CN"/>
        </w:rPr>
        <w:t>报告时限：①</w:t>
      </w:r>
      <w:r>
        <w:rPr>
          <w:rFonts w:hint="eastAsia" w:ascii="Times New Roman" w:hAnsi="Times New Roman" w:cs="Times New Roman"/>
          <w:sz w:val="21"/>
          <w:szCs w:val="21"/>
          <w:highlight w:val="none"/>
          <w:lang w:val="en-US" w:eastAsia="zh-CN"/>
        </w:rPr>
        <w:t>对于致死或危及生命的SUSAR，不能晚于申办者获知7天内，在随后的8天内随访报告；</w:t>
      </w:r>
      <w:r>
        <w:rPr>
          <w:rFonts w:hint="default" w:ascii="Times New Roman" w:hAnsi="Times New Roman" w:cs="Times New Roman"/>
          <w:sz w:val="21"/>
          <w:szCs w:val="21"/>
          <w:highlight w:val="none"/>
          <w:lang w:val="en-US" w:eastAsia="zh-CN"/>
        </w:rPr>
        <w:t>②</w:t>
      </w:r>
      <w:r>
        <w:rPr>
          <w:rFonts w:hint="eastAsia" w:ascii="Times New Roman" w:hAnsi="Times New Roman" w:cs="Times New Roman"/>
          <w:sz w:val="21"/>
          <w:szCs w:val="21"/>
          <w:highlight w:val="none"/>
          <w:lang w:val="en-US" w:eastAsia="zh-CN"/>
        </w:rPr>
        <w:t>对于非致死或危及生命的SUSAR，不能晚于申办者获知15天内。以纸质版报告签收日期为准（递交信形式）。</w:t>
      </w:r>
    </w:p>
    <w:p w14:paraId="21A1E78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400"/>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u w:val="none"/>
          <w:lang w:val="en-US" w:eastAsia="zh-CN"/>
        </w:rPr>
        <w:t>非本中心的SUSAR</w:t>
      </w:r>
      <w:r>
        <w:rPr>
          <w:rFonts w:hint="eastAsia" w:ascii="Times New Roman" w:hAnsi="Times New Roman" w:cs="Times New Roman"/>
          <w:sz w:val="21"/>
          <w:szCs w:val="21"/>
          <w:highlight w:val="none"/>
          <w:u w:val="none"/>
          <w:lang w:val="en-US" w:eastAsia="zh-CN"/>
        </w:rPr>
        <w:t>：</w:t>
      </w:r>
      <w:r>
        <w:rPr>
          <w:rFonts w:hint="eastAsia" w:ascii="Times New Roman" w:hAnsi="Times New Roman" w:cs="Times New Roman"/>
          <w:sz w:val="21"/>
          <w:szCs w:val="21"/>
          <w:highlight w:val="none"/>
          <w:lang w:val="en-US" w:eastAsia="zh-CN"/>
        </w:rPr>
        <w:t>研究者应当定期（至少3个月一次）提交由申办者提供的SUSAR汇总行列表[文件命名格式：XXX的SUSAR汇总行列表（20XX年XX月XX日—20XX年XX月XX日）]和SUSAR个例</w:t>
      </w:r>
      <w:r>
        <w:rPr>
          <w:rFonts w:hint="default" w:ascii="Times New Roman" w:hAnsi="Times New Roman" w:cs="Times New Roman"/>
          <w:sz w:val="21"/>
          <w:szCs w:val="21"/>
          <w:highlight w:val="none"/>
          <w:lang w:val="en-US" w:eastAsia="zh-CN"/>
        </w:rPr>
        <w:t>报告</w:t>
      </w:r>
      <w:r>
        <w:rPr>
          <w:rFonts w:hint="eastAsia" w:ascii="Times New Roman" w:hAnsi="Times New Roman" w:cs="Times New Roman"/>
          <w:sz w:val="21"/>
          <w:szCs w:val="21"/>
          <w:highlight w:val="none"/>
          <w:lang w:val="en-US" w:eastAsia="zh-CN"/>
        </w:rPr>
        <w:t>给伦理审查委员会，仅接受纸质版。</w:t>
      </w:r>
    </w:p>
    <w:p w14:paraId="42CAF11D">
      <w:pPr>
        <w:keepNext w:val="0"/>
        <w:keepLines w:val="0"/>
        <w:pageBreakBefore w:val="0"/>
        <w:widowControl w:val="0"/>
        <w:numPr>
          <w:ilvl w:val="2"/>
          <w:numId w:val="2"/>
        </w:numPr>
        <w:kinsoku/>
        <w:wordWrap/>
        <w:overflowPunct/>
        <w:topLinePunct w:val="0"/>
        <w:autoSpaceDE/>
        <w:autoSpaceDN/>
        <w:bidi w:val="0"/>
        <w:adjustRightInd/>
        <w:snapToGrid/>
        <w:spacing w:line="440" w:lineRule="exact"/>
        <w:ind w:left="0" w:leftChars="0" w:firstLine="840" w:firstLineChars="400"/>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研发期间安全性更新报告（Development Safety Update Report, DSUR）是指申办者按年度对试验药物安全性信息进行的汇总更新报告，涵盖报告周期内所有临床试验中心的安全性数据。</w:t>
      </w:r>
    </w:p>
    <w:p w14:paraId="7C54C79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400"/>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申办者应当定期向药品审评中心提交DSUR，并按要求将相关信息通报主要研究者和伦理审查委员会</w:t>
      </w:r>
      <w:r>
        <w:rPr>
          <w:rFonts w:hint="default" w:ascii="Times New Roman" w:hAnsi="Times New Roman" w:cs="Times New Roman"/>
          <w:sz w:val="21"/>
          <w:szCs w:val="21"/>
          <w:highlight w:val="none"/>
          <w:lang w:val="en-US" w:eastAsia="zh-CN"/>
        </w:rPr>
        <w:fldChar w:fldCharType="begin"/>
      </w:r>
      <w:r>
        <w:rPr>
          <w:rFonts w:hint="default" w:ascii="Times New Roman" w:hAnsi="Times New Roman" w:cs="Times New Roman"/>
          <w:sz w:val="21"/>
          <w:szCs w:val="21"/>
          <w:highlight w:val="none"/>
          <w:lang w:val="en-US" w:eastAsia="zh-CN"/>
        </w:rPr>
        <w:instrText xml:space="preserve"> HYPERLINK "http://www.wzhosp-gcp.com/news_show-2468.html" \t "https://chat.deepseek.com/a/chat/s/_blank" </w:instrText>
      </w:r>
      <w:r>
        <w:rPr>
          <w:rFonts w:hint="default" w:ascii="Times New Roman" w:hAnsi="Times New Roman" w:cs="Times New Roman"/>
          <w:sz w:val="21"/>
          <w:szCs w:val="21"/>
          <w:highlight w:val="none"/>
          <w:lang w:val="en-US" w:eastAsia="zh-CN"/>
        </w:rPr>
        <w:fldChar w:fldCharType="separate"/>
      </w:r>
      <w:r>
        <w:rPr>
          <w:rFonts w:hint="default" w:ascii="Times New Roman" w:hAnsi="Times New Roman" w:cs="Times New Roman"/>
          <w:sz w:val="21"/>
          <w:szCs w:val="21"/>
          <w:highlight w:val="none"/>
          <w:lang w:val="en-US" w:eastAsia="zh-CN"/>
        </w:rPr>
        <w:fldChar w:fldCharType="end"/>
      </w:r>
      <w:r>
        <w:rPr>
          <w:rFonts w:hint="default" w:ascii="Times New Roman" w:hAnsi="Times New Roman" w:cs="Times New Roman"/>
          <w:sz w:val="21"/>
          <w:szCs w:val="21"/>
          <w:highlight w:val="none"/>
          <w:lang w:val="en-US" w:eastAsia="zh-CN"/>
        </w:rPr>
        <w:t>。主要研究者收到申办者提供的DSUR相关信息后应当及时签阅，并考虑试验参与者的治疗是否需相应调整，必要时尽早与试验参与者沟通</w:t>
      </w:r>
      <w:r>
        <w:rPr>
          <w:rFonts w:hint="default" w:ascii="Times New Roman" w:hAnsi="Times New Roman" w:cs="Times New Roman"/>
          <w:sz w:val="21"/>
          <w:szCs w:val="21"/>
          <w:highlight w:val="none"/>
          <w:lang w:val="en-US" w:eastAsia="zh-CN"/>
        </w:rPr>
        <w:fldChar w:fldCharType="begin"/>
      </w:r>
      <w:r>
        <w:rPr>
          <w:rFonts w:hint="default" w:ascii="Times New Roman" w:hAnsi="Times New Roman" w:cs="Times New Roman"/>
          <w:sz w:val="21"/>
          <w:szCs w:val="21"/>
          <w:highlight w:val="none"/>
          <w:lang w:val="en-US" w:eastAsia="zh-CN"/>
        </w:rPr>
        <w:instrText xml:space="preserve"> HYPERLINK "https://www.huzszyy.cn/uploads/20260615/6ff270a2f1a91f4086cfe1d42e462059.pdf" \l "2#1" \t "https://chat.deepseek.com/a/chat/s/_blank" </w:instrText>
      </w:r>
      <w:r>
        <w:rPr>
          <w:rFonts w:hint="default" w:ascii="Times New Roman" w:hAnsi="Times New Roman" w:cs="Times New Roman"/>
          <w:sz w:val="21"/>
          <w:szCs w:val="21"/>
          <w:highlight w:val="none"/>
          <w:lang w:val="en-US" w:eastAsia="zh-CN"/>
        </w:rPr>
        <w:fldChar w:fldCharType="separate"/>
      </w:r>
      <w:r>
        <w:rPr>
          <w:rFonts w:hint="default" w:ascii="Times New Roman" w:hAnsi="Times New Roman" w:cs="Times New Roman"/>
          <w:sz w:val="21"/>
          <w:szCs w:val="21"/>
          <w:highlight w:val="none"/>
          <w:lang w:val="en-US" w:eastAsia="zh-CN"/>
        </w:rPr>
        <w:fldChar w:fldCharType="end"/>
      </w:r>
      <w:r>
        <w:rPr>
          <w:rFonts w:hint="default" w:ascii="Times New Roman" w:hAnsi="Times New Roman" w:cs="Times New Roman"/>
          <w:sz w:val="21"/>
          <w:szCs w:val="21"/>
          <w:highlight w:val="none"/>
          <w:lang w:val="en-US" w:eastAsia="zh-CN"/>
        </w:rPr>
        <w:t>。研究者应当在收到DSUR相关信息后5个工作日内签阅，并将签阅记录递交伦理审查委员会备案；DSUR原则上每年度递交一次，可与年度/定期跟踪审查同步进行，以伦理审查委员会</w:t>
      </w:r>
      <w:r>
        <w:rPr>
          <w:rFonts w:hint="eastAsia" w:ascii="Times New Roman" w:hAnsi="Times New Roman" w:cs="Times New Roman"/>
          <w:sz w:val="21"/>
          <w:szCs w:val="21"/>
          <w:highlight w:val="none"/>
          <w:lang w:val="en-US" w:eastAsia="zh-CN"/>
        </w:rPr>
        <w:t>受理/</w:t>
      </w:r>
      <w:r>
        <w:rPr>
          <w:rFonts w:hint="default" w:ascii="Times New Roman" w:hAnsi="Times New Roman" w:cs="Times New Roman"/>
          <w:sz w:val="21"/>
          <w:szCs w:val="21"/>
          <w:highlight w:val="none"/>
          <w:lang w:val="en-US" w:eastAsia="zh-CN"/>
        </w:rPr>
        <w:t>签收日期为准。</w:t>
      </w:r>
    </w:p>
    <w:p w14:paraId="5C619806">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违背方案报告：</w:t>
      </w:r>
    </w:p>
    <w:p w14:paraId="3DFCB38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违背方案是指对伦理审查委员会批准试验方案的所有偏离，并且这种偏离没有获得伦理审查委员会的事先批准，或者违背人体试验参与者保护规定和伦理审查委员会要求的情况。</w:t>
      </w:r>
    </w:p>
    <w:p w14:paraId="20DDCA9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为避免研究对试验参与者的即刻危险，研究者可在伦理审查委员会批准前偏离研究方案，事后应以“违背方案报告”的方式，向伦理审查委员会报告任何偏离已批准方案之处并作解释。</w:t>
      </w:r>
    </w:p>
    <w:p w14:paraId="6ED7267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需要及时报告的违背方案情况包括：①严重违背方案：研究纳入了不符合纳入标准或符合排除标准的试验参与者，符合中止试验规定而未让试验参与者退出研究，给予错误治疗或剂量，给予方案禁止的合并用药等没有遵从方案开展研究的情况；或可能对试验参与者的权益/健康以及研究的科学性造成显著影响等违背GCP原则的情况。②持续违背方案，或研究者不配合监查/稽查，或对违规事件不予以纠正。凡是发生上述研究者违背GCP原则、没有遵从方案开展研究，可能对试验参与者的权益/健康以及研究的科学性造成显著影响的情况，申办者/研究者应提交违背方案报告。</w:t>
      </w:r>
    </w:p>
    <w:p w14:paraId="2143DA7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需要定期（以年度/定期跟踪审查频率）汇报的轻度违背方案：由于试验参与者不遵从试验方案而导致的方案违背，如漏服试验药物、未按研究者要求在规定的时间内访视等。</w:t>
      </w:r>
    </w:p>
    <w:p w14:paraId="2DABE126">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暂停/终止研究报告：研究者/申办者暂停或提前终止临床研究，应及时向伦理审查委员会提交暂停/终止研究报告。</w:t>
      </w:r>
    </w:p>
    <w:p w14:paraId="53287981">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研究完成报告：完成临床研究，应及时向伦理审查委员会提交研究完成报告。</w:t>
      </w:r>
    </w:p>
    <w:p w14:paraId="53F9F728">
      <w:pPr>
        <w:keepNext w:val="0"/>
        <w:keepLines w:val="0"/>
        <w:pageBreakBefore w:val="0"/>
        <w:widowControl w:val="0"/>
        <w:numPr>
          <w:ilvl w:val="0"/>
          <w:numId w:val="2"/>
        </w:numPr>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复审</w:t>
      </w:r>
    </w:p>
    <w:p w14:paraId="4EED18EE">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复审申请：上述初始审查和跟踪审查后，按伦理审查意见“修改后批准”和“修改后再审”，对方案进行修改后，应以“复审申请”的方式再次送审，经伦理审查委员会批准后方可实施；如果对伦理审查意见有不同的看法，可以“复审申请”的方式申诉不同意见，请伦理审查委员会重新考虑决定。</w:t>
      </w:r>
    </w:p>
    <w:p w14:paraId="087DDD1D">
      <w:pPr>
        <w:keepNext w:val="0"/>
        <w:keepLines w:val="0"/>
        <w:pageBreakBefore w:val="0"/>
        <w:widowControl w:val="0"/>
        <w:numPr>
          <w:ilvl w:val="0"/>
          <w:numId w:val="1"/>
        </w:numPr>
        <w:kinsoku/>
        <w:wordWrap/>
        <w:overflowPunct/>
        <w:topLinePunct w:val="0"/>
        <w:autoSpaceDE/>
        <w:autoSpaceDN/>
        <w:bidi w:val="0"/>
        <w:adjustRightInd/>
        <w:snapToGrid/>
        <w:spacing w:line="440" w:lineRule="exact"/>
        <w:textAlignment w:val="auto"/>
        <w:outlineLvl w:val="9"/>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提交伦理审查的流程</w:t>
      </w:r>
    </w:p>
    <w:p w14:paraId="6EDA7478">
      <w:pPr>
        <w:keepNext w:val="0"/>
        <w:keepLines w:val="0"/>
        <w:pageBreakBefore w:val="0"/>
        <w:widowControl w:val="0"/>
        <w:numPr>
          <w:ilvl w:val="0"/>
          <w:numId w:val="3"/>
        </w:numPr>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送审</w:t>
      </w:r>
    </w:p>
    <w:p w14:paraId="6FD79E1E">
      <w:pPr>
        <w:keepNext w:val="0"/>
        <w:keepLines w:val="0"/>
        <w:pageBreakBefore w:val="0"/>
        <w:widowControl w:val="0"/>
        <w:numPr>
          <w:ilvl w:val="1"/>
          <w:numId w:val="3"/>
        </w:numPr>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送审程序：药物临床试验应在机构办公室同意立项后再递交伦理审查。</w:t>
      </w:r>
    </w:p>
    <w:p w14:paraId="33CCBA66">
      <w:pPr>
        <w:keepNext w:val="0"/>
        <w:keepLines w:val="0"/>
        <w:pageBreakBefore w:val="0"/>
        <w:widowControl w:val="0"/>
        <w:numPr>
          <w:ilvl w:val="1"/>
          <w:numId w:val="3"/>
        </w:numPr>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送审责任人：一般由主要研究者负责。</w:t>
      </w:r>
    </w:p>
    <w:p w14:paraId="051E0A99">
      <w:pPr>
        <w:keepNext w:val="0"/>
        <w:keepLines w:val="0"/>
        <w:pageBreakBefore w:val="0"/>
        <w:widowControl w:val="0"/>
        <w:numPr>
          <w:ilvl w:val="1"/>
          <w:numId w:val="3"/>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sz w:val="21"/>
          <w:szCs w:val="21"/>
          <w:lang w:val="en-US" w:eastAsia="zh-CN"/>
        </w:rPr>
        <w:t>准备送审文件：根据送审文件清单（附件1），准备送审文件。研究方案、知情同意书、招募材料、提供给试验参与者的其他书面材料、病例报告表、研究者手册等送审材料均需</w:t>
      </w:r>
      <w:r>
        <w:rPr>
          <w:rFonts w:hint="eastAsia" w:ascii="Times New Roman" w:hAnsi="Times New Roman" w:cs="Times New Roman"/>
          <w:color w:val="auto"/>
          <w:sz w:val="21"/>
          <w:szCs w:val="21"/>
          <w:lang w:val="en-US" w:eastAsia="zh-CN"/>
        </w:rPr>
        <w:t>注明版本号和版本日期。</w:t>
      </w:r>
    </w:p>
    <w:p w14:paraId="4CCBA41E">
      <w:pPr>
        <w:keepNext w:val="0"/>
        <w:keepLines w:val="0"/>
        <w:pageBreakBefore w:val="0"/>
        <w:widowControl w:val="0"/>
        <w:numPr>
          <w:ilvl w:val="1"/>
          <w:numId w:val="3"/>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填写申请/报告的表格：根据伦理审查申请/报告的类别，填写相应的“申请”[初始审查申请（附件2），修正案审查申请（附件3），复审申请（附件4）]，或“报告”[研究进展报告（附件5），严重不良事件报告（附件6）</w:t>
      </w:r>
      <w:r>
        <w:rPr>
          <w:rFonts w:hint="eastAsia" w:ascii="Times New Roman" w:hAnsi="Times New Roman" w:cs="Times New Roman"/>
          <w:color w:val="auto"/>
          <w:sz w:val="21"/>
          <w:szCs w:val="21"/>
          <w:highlight w:val="none"/>
          <w:lang w:val="en-US" w:eastAsia="zh-CN"/>
        </w:rPr>
        <w:t>，SUSAR处理报告（附件7），违</w:t>
      </w:r>
      <w:r>
        <w:rPr>
          <w:rFonts w:hint="eastAsia" w:ascii="Times New Roman" w:hAnsi="Times New Roman" w:cs="Times New Roman"/>
          <w:color w:val="auto"/>
          <w:sz w:val="21"/>
          <w:szCs w:val="21"/>
          <w:lang w:val="en-US" w:eastAsia="zh-CN"/>
        </w:rPr>
        <w:t>背方案报告（附件8），暂停/终止研究报告（附件9），研究完成报告（附件10）]。</w:t>
      </w:r>
    </w:p>
    <w:p w14:paraId="198539E0">
      <w:pPr>
        <w:keepNext w:val="0"/>
        <w:keepLines w:val="0"/>
        <w:pageBreakBefore w:val="0"/>
        <w:widowControl w:val="0"/>
        <w:numPr>
          <w:ilvl w:val="1"/>
          <w:numId w:val="3"/>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sz w:val="21"/>
          <w:szCs w:val="21"/>
          <w:lang w:val="en-US" w:eastAsia="zh-CN"/>
        </w:rPr>
      </w:pPr>
      <w:r>
        <w:rPr>
          <w:rFonts w:hint="eastAsia" w:ascii="Times New Roman" w:hAnsi="Times New Roman" w:cs="Times New Roman"/>
          <w:color w:val="auto"/>
          <w:sz w:val="21"/>
          <w:szCs w:val="21"/>
          <w:lang w:val="en-US" w:eastAsia="zh-CN"/>
        </w:rPr>
        <w:t>提交：可以首先提交1套送审文件，经由伦理审查委员会秘书形式审查，</w:t>
      </w:r>
      <w:r>
        <w:rPr>
          <w:rFonts w:hint="default" w:ascii="Times New Roman" w:hAnsi="Times New Roman" w:cs="Times New Roman"/>
          <w:color w:val="auto"/>
          <w:sz w:val="21"/>
          <w:szCs w:val="21"/>
          <w:lang w:val="en-US" w:eastAsia="zh-CN"/>
        </w:rPr>
        <w:t>通过形式审</w:t>
      </w:r>
      <w:r>
        <w:rPr>
          <w:rFonts w:hint="default" w:ascii="Times New Roman" w:hAnsi="Times New Roman" w:cs="Times New Roman"/>
          <w:sz w:val="21"/>
          <w:szCs w:val="21"/>
          <w:lang w:val="en-US" w:eastAsia="zh-CN"/>
        </w:rPr>
        <w:t>查后，</w:t>
      </w:r>
      <w:r>
        <w:rPr>
          <w:rFonts w:hint="default" w:ascii="Times New Roman" w:hAnsi="Times New Roman" w:cs="Times New Roman"/>
          <w:sz w:val="21"/>
          <w:szCs w:val="21"/>
          <w:highlight w:val="none"/>
          <w:lang w:val="en-US" w:eastAsia="zh-CN"/>
        </w:rPr>
        <w:t>提交书面送审材料</w:t>
      </w:r>
      <w:r>
        <w:rPr>
          <w:rFonts w:hint="eastAsia" w:ascii="Times New Roman" w:hAnsi="Times New Roman" w:cs="Times New Roman"/>
          <w:sz w:val="21"/>
          <w:szCs w:val="21"/>
          <w:highlight w:val="none"/>
          <w:lang w:val="en-US" w:eastAsia="zh-CN"/>
        </w:rPr>
        <w:t>15份送至伦理审查委员会办公室</w:t>
      </w:r>
      <w:r>
        <w:rPr>
          <w:rFonts w:hint="default" w:ascii="Times New Roman" w:hAnsi="Times New Roman" w:cs="Times New Roman"/>
          <w:sz w:val="21"/>
          <w:szCs w:val="21"/>
          <w:highlight w:val="none"/>
          <w:lang w:val="en-US" w:eastAsia="zh-CN"/>
        </w:rPr>
        <w:t>，并将电子版资料</w:t>
      </w:r>
      <w:r>
        <w:rPr>
          <w:rFonts w:hint="eastAsia" w:ascii="Times New Roman" w:hAnsi="Times New Roman" w:cs="Times New Roman"/>
          <w:sz w:val="21"/>
          <w:szCs w:val="21"/>
          <w:highlight w:val="none"/>
          <w:lang w:val="en-US" w:eastAsia="zh-CN"/>
        </w:rPr>
        <w:t>（与书面材料一致）</w:t>
      </w:r>
      <w:r>
        <w:rPr>
          <w:rFonts w:hint="default" w:ascii="Times New Roman" w:hAnsi="Times New Roman" w:cs="Times New Roman"/>
          <w:sz w:val="21"/>
          <w:szCs w:val="21"/>
          <w:highlight w:val="none"/>
          <w:lang w:val="en-US" w:eastAsia="zh-CN"/>
        </w:rPr>
        <w:t>发送至tzsyllwyh@163.com</w:t>
      </w:r>
      <w:r>
        <w:rPr>
          <w:rFonts w:hint="eastAsia" w:ascii="Times New Roman" w:hAnsi="Times New Roman" w:cs="Times New Roman"/>
          <w:sz w:val="21"/>
          <w:szCs w:val="21"/>
          <w:highlight w:val="none"/>
          <w:lang w:val="en-US" w:eastAsia="zh-CN"/>
        </w:rPr>
        <w:t>，主任委</w:t>
      </w:r>
      <w:r>
        <w:rPr>
          <w:rFonts w:hint="eastAsia" w:ascii="Times New Roman" w:hAnsi="Times New Roman" w:cs="Times New Roman"/>
          <w:sz w:val="21"/>
          <w:szCs w:val="21"/>
          <w:lang w:val="en-US" w:eastAsia="zh-CN"/>
        </w:rPr>
        <w:t>员确定审查形式。首次提交伦理审查申请的主要研究者，还需要提交履历表、资质证明文件复印件、GCP培训证书复印件。</w:t>
      </w:r>
    </w:p>
    <w:p w14:paraId="3DFDE9FB">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firstLine="0" w:firstLineChars="0"/>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领取通知</w:t>
      </w:r>
    </w:p>
    <w:p w14:paraId="4912BA11">
      <w:pPr>
        <w:keepNext w:val="0"/>
        <w:keepLines w:val="0"/>
        <w:pageBreakBefore w:val="0"/>
        <w:widowControl w:val="0"/>
        <w:numPr>
          <w:ilvl w:val="1"/>
          <w:numId w:val="3"/>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补充/修改送审材料通知：伦理审查委员会办公室接收送审材料后，如果认为送审文件不完整，文件要素有缺陷，发送补充/修改送审材料通知（附件11），告知缺项文件、缺陷的要素，以及最近审查会议前的送审截止日期。</w:t>
      </w:r>
    </w:p>
    <w:p w14:paraId="18FFFEE9">
      <w:pPr>
        <w:keepNext w:val="0"/>
        <w:keepLines w:val="0"/>
        <w:pageBreakBefore w:val="0"/>
        <w:widowControl w:val="0"/>
        <w:numPr>
          <w:ilvl w:val="1"/>
          <w:numId w:val="3"/>
        </w:numPr>
        <w:kinsoku/>
        <w:wordWrap/>
        <w:overflowPunct/>
        <w:topLinePunct w:val="0"/>
        <w:autoSpaceDE/>
        <w:autoSpaceDN/>
        <w:bidi w:val="0"/>
        <w:adjustRightInd/>
        <w:snapToGrid/>
        <w:spacing w:line="440" w:lineRule="exact"/>
        <w:ind w:left="0" w:leftChars="0" w:firstLine="420" w:firstLineChars="200"/>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受理通知：送审文件的完整性和要素通过形式审查，办公室秘书发送受理通知（附件12），并告知预定审查日期。</w:t>
      </w:r>
    </w:p>
    <w:p w14:paraId="5F0EC98D">
      <w:pPr>
        <w:keepNext w:val="0"/>
        <w:keepLines w:val="0"/>
        <w:pageBreakBefore w:val="0"/>
        <w:widowControl w:val="0"/>
        <w:numPr>
          <w:ilvl w:val="0"/>
          <w:numId w:val="3"/>
        </w:numPr>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接受审查的准备</w:t>
      </w:r>
    </w:p>
    <w:p w14:paraId="69FEAE34">
      <w:pPr>
        <w:keepNext w:val="0"/>
        <w:keepLines w:val="0"/>
        <w:pageBreakBefore w:val="0"/>
        <w:widowControl w:val="0"/>
        <w:numPr>
          <w:ilvl w:val="1"/>
          <w:numId w:val="3"/>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会议时间/地点：伦理审查委员会秘书电话或者短信通知。</w:t>
      </w:r>
    </w:p>
    <w:p w14:paraId="29C49741">
      <w:pPr>
        <w:keepNext w:val="0"/>
        <w:keepLines w:val="0"/>
        <w:pageBreakBefore w:val="0"/>
        <w:widowControl w:val="0"/>
        <w:numPr>
          <w:ilvl w:val="1"/>
          <w:numId w:val="3"/>
        </w:numPr>
        <w:kinsoku/>
        <w:wordWrap/>
        <w:overflowPunct/>
        <w:topLinePunct w:val="0"/>
        <w:autoSpaceDE/>
        <w:autoSpaceDN/>
        <w:bidi w:val="0"/>
        <w:adjustRightInd/>
        <w:snapToGrid/>
        <w:spacing w:line="440" w:lineRule="exact"/>
        <w:ind w:left="0" w:leftChars="0" w:firstLine="420" w:firstLineChars="200"/>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准备向会议报告：主要研究者准备报告文件，并应尽量亲自到会报告，如若实在无法到场，可由SUB-I到会报告，并提前15分钟到达会场。准备PPT，时间≤5分钟，主要汇报的要点有：国家药品监督管理局临床试验批件；有关试验方案设计与实施内容；试验流程图；试验的风险与受益；知情同意书告知的信息及知情同意的过程；试验参与者的医疗、保护和补偿等。</w:t>
      </w:r>
    </w:p>
    <w:p w14:paraId="631AC83F">
      <w:pPr>
        <w:keepNext w:val="0"/>
        <w:keepLines w:val="0"/>
        <w:pageBreakBefore w:val="0"/>
        <w:widowControl w:val="0"/>
        <w:numPr>
          <w:ilvl w:val="0"/>
          <w:numId w:val="1"/>
        </w:numPr>
        <w:kinsoku/>
        <w:wordWrap/>
        <w:overflowPunct/>
        <w:topLinePunct w:val="0"/>
        <w:autoSpaceDE/>
        <w:autoSpaceDN/>
        <w:bidi w:val="0"/>
        <w:adjustRightInd/>
        <w:snapToGrid/>
        <w:spacing w:line="440" w:lineRule="exact"/>
        <w:textAlignment w:val="auto"/>
        <w:outlineLvl w:val="9"/>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伦理审查的时间</w:t>
      </w:r>
    </w:p>
    <w:p w14:paraId="03F44E3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伦理审查委员会</w:t>
      </w:r>
      <w:r>
        <w:rPr>
          <w:rFonts w:hint="default" w:ascii="Times New Roman" w:hAnsi="Times New Roman" w:cs="Times New Roman" w:eastAsiaTheme="minorEastAsia"/>
          <w:sz w:val="21"/>
          <w:szCs w:val="21"/>
          <w:lang w:val="en-US" w:eastAsia="zh-CN"/>
        </w:rPr>
        <w:t>例行审查会议一般每</w:t>
      </w:r>
      <w:r>
        <w:rPr>
          <w:rFonts w:hint="eastAsia" w:ascii="Times New Roman" w:hAnsi="Times New Roman" w:cs="Times New Roman"/>
          <w:sz w:val="21"/>
          <w:szCs w:val="21"/>
          <w:lang w:val="en-US" w:eastAsia="zh-CN"/>
        </w:rPr>
        <w:t>季度</w:t>
      </w:r>
      <w:r>
        <w:rPr>
          <w:rFonts w:hint="default" w:ascii="Times New Roman" w:hAnsi="Times New Roman" w:cs="Times New Roman" w:eastAsiaTheme="minorEastAsia"/>
          <w:sz w:val="21"/>
          <w:szCs w:val="21"/>
          <w:lang w:val="en-US" w:eastAsia="zh-CN"/>
        </w:rPr>
        <w:t>安排1次，需要时可以增加审查会议次数。</w:t>
      </w:r>
      <w:r>
        <w:rPr>
          <w:rFonts w:hint="eastAsia" w:ascii="Times New Roman" w:hAnsi="Times New Roman" w:cs="Times New Roman"/>
          <w:sz w:val="21"/>
          <w:szCs w:val="21"/>
          <w:lang w:val="en-US" w:eastAsia="zh-CN"/>
        </w:rPr>
        <w:t>伦理审查委员会</w:t>
      </w:r>
      <w:r>
        <w:rPr>
          <w:rFonts w:hint="default" w:ascii="Times New Roman" w:hAnsi="Times New Roman" w:cs="Times New Roman" w:eastAsiaTheme="minorEastAsia"/>
          <w:sz w:val="21"/>
          <w:szCs w:val="21"/>
          <w:lang w:val="en-US" w:eastAsia="zh-CN"/>
        </w:rPr>
        <w:t>办公室受理送审文件后，一般需要</w:t>
      </w:r>
      <w:r>
        <w:rPr>
          <w:rFonts w:hint="eastAsia" w:ascii="Times New Roman" w:hAnsi="Times New Roman" w:cs="Times New Roman"/>
          <w:sz w:val="21"/>
          <w:szCs w:val="21"/>
          <w:lang w:val="en-US" w:eastAsia="zh-CN"/>
        </w:rPr>
        <w:t>1周</w:t>
      </w:r>
      <w:r>
        <w:rPr>
          <w:rFonts w:hint="default" w:ascii="Times New Roman" w:hAnsi="Times New Roman" w:cs="Times New Roman" w:eastAsiaTheme="minorEastAsia"/>
          <w:sz w:val="21"/>
          <w:szCs w:val="21"/>
          <w:lang w:val="en-US" w:eastAsia="zh-CN"/>
        </w:rPr>
        <w:t>的时间进行处理</w:t>
      </w:r>
      <w:r>
        <w:rPr>
          <w:rFonts w:hint="eastAsia" w:ascii="Times New Roman" w:hAnsi="Times New Roman" w:cs="Times New Roman"/>
          <w:sz w:val="21"/>
          <w:szCs w:val="21"/>
          <w:lang w:val="en-US" w:eastAsia="zh-CN"/>
        </w:rPr>
        <w:t>，请在会议审查1周前提交送审文件。</w:t>
      </w:r>
    </w:p>
    <w:p w14:paraId="330D264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研究过程中出现重大或严重问题，</w:t>
      </w:r>
      <w:r>
        <w:rPr>
          <w:rFonts w:hint="eastAsia" w:ascii="Times New Roman" w:hAnsi="Times New Roman" w:cs="Times New Roman"/>
          <w:sz w:val="21"/>
          <w:szCs w:val="21"/>
          <w:lang w:val="en-US" w:eastAsia="zh-CN"/>
        </w:rPr>
        <w:t>危及试验参与者</w:t>
      </w:r>
      <w:r>
        <w:rPr>
          <w:rFonts w:hint="default" w:ascii="Times New Roman" w:hAnsi="Times New Roman" w:cs="Times New Roman" w:eastAsiaTheme="minorEastAsia"/>
          <w:sz w:val="21"/>
          <w:szCs w:val="21"/>
          <w:lang w:val="en-US" w:eastAsia="zh-CN"/>
        </w:rPr>
        <w:t>安全时，或发生其他需要</w:t>
      </w:r>
      <w:r>
        <w:rPr>
          <w:rFonts w:hint="eastAsia" w:ascii="Times New Roman" w:hAnsi="Times New Roman" w:cs="Times New Roman"/>
          <w:sz w:val="21"/>
          <w:szCs w:val="21"/>
          <w:lang w:val="en-US" w:eastAsia="zh-CN"/>
        </w:rPr>
        <w:t>伦理审查委员会</w:t>
      </w:r>
      <w:r>
        <w:rPr>
          <w:rFonts w:hint="default" w:ascii="Times New Roman" w:hAnsi="Times New Roman" w:cs="Times New Roman" w:eastAsiaTheme="minorEastAsia"/>
          <w:sz w:val="21"/>
          <w:szCs w:val="21"/>
          <w:lang w:val="en-US" w:eastAsia="zh-CN"/>
        </w:rPr>
        <w:t>召开会议进行紧急审查和决定的情况，</w:t>
      </w:r>
      <w:r>
        <w:rPr>
          <w:rFonts w:hint="eastAsia" w:ascii="Times New Roman" w:hAnsi="Times New Roman" w:cs="Times New Roman"/>
          <w:sz w:val="21"/>
          <w:szCs w:val="21"/>
          <w:lang w:val="en-US" w:eastAsia="zh-CN"/>
        </w:rPr>
        <w:t>伦理审查委员会</w:t>
      </w:r>
      <w:r>
        <w:rPr>
          <w:rFonts w:hint="default" w:ascii="Times New Roman" w:hAnsi="Times New Roman" w:cs="Times New Roman" w:eastAsiaTheme="minorEastAsia"/>
          <w:sz w:val="21"/>
          <w:szCs w:val="21"/>
          <w:lang w:val="en-US" w:eastAsia="zh-CN"/>
        </w:rPr>
        <w:t>将召开紧急会议进行审查。</w:t>
      </w:r>
    </w:p>
    <w:p w14:paraId="0F2D6489">
      <w:pPr>
        <w:keepNext w:val="0"/>
        <w:keepLines w:val="0"/>
        <w:pageBreakBefore w:val="0"/>
        <w:widowControl w:val="0"/>
        <w:numPr>
          <w:ilvl w:val="0"/>
          <w:numId w:val="1"/>
        </w:numPr>
        <w:kinsoku/>
        <w:wordWrap/>
        <w:overflowPunct/>
        <w:topLinePunct w:val="0"/>
        <w:autoSpaceDE/>
        <w:autoSpaceDN/>
        <w:bidi w:val="0"/>
        <w:adjustRightInd/>
        <w:snapToGrid/>
        <w:spacing w:line="440" w:lineRule="exact"/>
        <w:textAlignment w:val="auto"/>
        <w:outlineLvl w:val="9"/>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审查决定的传达</w:t>
      </w:r>
    </w:p>
    <w:p w14:paraId="794605F6">
      <w:pPr>
        <w:keepNext w:val="0"/>
        <w:keepLines w:val="0"/>
        <w:pageBreakBefore w:val="0"/>
        <w:widowControl w:val="0"/>
        <w:numPr>
          <w:ilvl w:val="0"/>
          <w:numId w:val="4"/>
        </w:numPr>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伦理审查委员会</w:t>
      </w:r>
      <w:r>
        <w:rPr>
          <w:rFonts w:hint="default" w:ascii="Times New Roman" w:hAnsi="Times New Roman" w:cs="Times New Roman" w:eastAsiaTheme="minorEastAsia"/>
          <w:sz w:val="21"/>
          <w:szCs w:val="21"/>
          <w:lang w:val="en-US" w:eastAsia="zh-CN"/>
        </w:rPr>
        <w:t>办公室在做出伦理审查决定后5个工作日内，以</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伦理审查意见</w:t>
      </w:r>
      <w:r>
        <w:rPr>
          <w:rFonts w:hint="eastAsia" w:ascii="Times New Roman" w:hAnsi="Times New Roman" w:cs="Times New Roman"/>
          <w:sz w:val="21"/>
          <w:szCs w:val="21"/>
          <w:lang w:val="en-US" w:eastAsia="zh-CN"/>
        </w:rPr>
        <w:t>函”</w:t>
      </w:r>
      <w:r>
        <w:rPr>
          <w:rFonts w:hint="default" w:ascii="Times New Roman" w:hAnsi="Times New Roman" w:cs="Times New Roman" w:eastAsiaTheme="minorEastAsia"/>
          <w:sz w:val="21"/>
          <w:szCs w:val="21"/>
          <w:lang w:val="en-US" w:eastAsia="zh-CN"/>
        </w:rPr>
        <w:t>的书面方式传达审查决定。</w:t>
      </w:r>
    </w:p>
    <w:p w14:paraId="1B5E5DE3">
      <w:pPr>
        <w:keepNext w:val="0"/>
        <w:keepLines w:val="0"/>
        <w:pageBreakBefore w:val="0"/>
        <w:widowControl w:val="0"/>
        <w:numPr>
          <w:ilvl w:val="0"/>
          <w:numId w:val="4"/>
        </w:numPr>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如果审查意见为肯定性决定</w:t>
      </w:r>
      <w:r>
        <w:rPr>
          <w:rFonts w:hint="eastAsia" w:ascii="Times New Roman" w:hAnsi="Times New Roman" w:cs="Times New Roman"/>
          <w:sz w:val="21"/>
          <w:szCs w:val="21"/>
          <w:highlight w:val="none"/>
          <w:lang w:val="en-US" w:eastAsia="zh-CN"/>
        </w:rPr>
        <w:t>（批准继续研究或者批准研究完成）</w:t>
      </w:r>
      <w:r>
        <w:rPr>
          <w:rFonts w:hint="eastAsia" w:ascii="Times New Roman" w:hAnsi="Times New Roman" w:cs="Times New Roman"/>
          <w:sz w:val="21"/>
          <w:szCs w:val="21"/>
          <w:lang w:val="en-US" w:eastAsia="zh-CN"/>
        </w:rPr>
        <w:t>，并且审查类别属于严重不良事件审查，SUSAR审查，违背</w:t>
      </w:r>
      <w:r>
        <w:rPr>
          <w:rFonts w:hint="default" w:ascii="Times New Roman" w:hAnsi="Times New Roman" w:cs="Times New Roman" w:eastAsiaTheme="minorEastAsia"/>
          <w:sz w:val="21"/>
          <w:szCs w:val="21"/>
          <w:lang w:val="en-US" w:eastAsia="zh-CN"/>
        </w:rPr>
        <w:t>方案审查</w:t>
      </w:r>
      <w:r>
        <w:rPr>
          <w:rFonts w:hint="eastAsia" w:ascii="Times New Roman" w:hAnsi="Times New Roman" w:cs="Times New Roman"/>
          <w:sz w:val="21"/>
          <w:szCs w:val="21"/>
          <w:lang w:val="en-US" w:eastAsia="zh-CN"/>
        </w:rPr>
        <w:t>，暂停/终止研究审查，研究</w:t>
      </w:r>
      <w:r>
        <w:rPr>
          <w:rFonts w:hint="default" w:ascii="Times New Roman" w:hAnsi="Times New Roman" w:cs="Times New Roman" w:eastAsiaTheme="minorEastAsia"/>
          <w:sz w:val="21"/>
          <w:szCs w:val="21"/>
          <w:lang w:val="en-US" w:eastAsia="zh-CN"/>
        </w:rPr>
        <w:t>完成审查，</w:t>
      </w:r>
      <w:r>
        <w:rPr>
          <w:rFonts w:hint="eastAsia" w:ascii="Times New Roman" w:hAnsi="Times New Roman" w:cs="Times New Roman"/>
          <w:sz w:val="21"/>
          <w:szCs w:val="21"/>
          <w:lang w:val="en-US" w:eastAsia="zh-CN"/>
        </w:rPr>
        <w:t>以及上述审查类别审查后的复审，伦理审查委员会</w:t>
      </w:r>
      <w:r>
        <w:rPr>
          <w:rFonts w:hint="default" w:ascii="Times New Roman" w:hAnsi="Times New Roman" w:cs="Times New Roman" w:eastAsiaTheme="minorEastAsia"/>
          <w:sz w:val="21"/>
          <w:szCs w:val="21"/>
          <w:lang w:val="en-US" w:eastAsia="zh-CN"/>
        </w:rPr>
        <w:t>可以不传达伦理审查意见的书面文件。申请人提交伦理审查申请/报告后一个半月没有收到</w:t>
      </w:r>
      <w:r>
        <w:rPr>
          <w:rFonts w:hint="eastAsia" w:ascii="Times New Roman" w:hAnsi="Times New Roman" w:cs="Times New Roman"/>
          <w:sz w:val="21"/>
          <w:szCs w:val="21"/>
          <w:lang w:val="en-US" w:eastAsia="zh-CN"/>
        </w:rPr>
        <w:t>伦理审查委员会</w:t>
      </w:r>
      <w:r>
        <w:rPr>
          <w:rFonts w:hint="default" w:ascii="Times New Roman" w:hAnsi="Times New Roman" w:cs="Times New Roman" w:eastAsiaTheme="minorEastAsia"/>
          <w:sz w:val="21"/>
          <w:szCs w:val="21"/>
          <w:lang w:val="en-US" w:eastAsia="zh-CN"/>
        </w:rPr>
        <w:t>决定意见的答复，视作</w:t>
      </w:r>
      <w:r>
        <w:rPr>
          <w:rFonts w:hint="eastAsia" w:ascii="Times New Roman" w:hAnsi="Times New Roman" w:cs="Times New Roman"/>
          <w:sz w:val="21"/>
          <w:szCs w:val="21"/>
          <w:lang w:val="en-US" w:eastAsia="zh-CN"/>
        </w:rPr>
        <w:t>“批准”或“不需要采取进一步的措施”</w:t>
      </w:r>
      <w:r>
        <w:rPr>
          <w:rFonts w:hint="default" w:ascii="Times New Roman" w:hAnsi="Times New Roman" w:cs="Times New Roman" w:eastAsiaTheme="minorEastAsia"/>
          <w:sz w:val="21"/>
          <w:szCs w:val="21"/>
          <w:lang w:val="en-US" w:eastAsia="zh-CN"/>
        </w:rPr>
        <w:t>。</w:t>
      </w:r>
      <w:r>
        <w:rPr>
          <w:rFonts w:hint="eastAsia" w:ascii="Times New Roman" w:hAnsi="Times New Roman" w:cs="Times New Roman"/>
          <w:sz w:val="21"/>
          <w:szCs w:val="21"/>
          <w:lang w:val="en-US" w:eastAsia="zh-CN"/>
        </w:rPr>
        <w:t>研究者如果需要可以不传达的伦理审查意见的书面文件，可以要求伦理审查委员会办公室提供。</w:t>
      </w:r>
    </w:p>
    <w:p w14:paraId="39D50247">
      <w:pPr>
        <w:keepNext w:val="0"/>
        <w:keepLines w:val="0"/>
        <w:pageBreakBefore w:val="0"/>
        <w:widowControl w:val="0"/>
        <w:numPr>
          <w:ilvl w:val="0"/>
          <w:numId w:val="4"/>
        </w:numPr>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如果对伦理审查决定有不同意见，可以向</w:t>
      </w:r>
      <w:r>
        <w:rPr>
          <w:rFonts w:hint="eastAsia" w:ascii="Times New Roman" w:hAnsi="Times New Roman" w:cs="Times New Roman"/>
          <w:sz w:val="21"/>
          <w:szCs w:val="21"/>
          <w:lang w:val="en-US" w:eastAsia="zh-CN"/>
        </w:rPr>
        <w:t>伦理审查委员会</w:t>
      </w:r>
      <w:r>
        <w:rPr>
          <w:rFonts w:hint="default" w:ascii="Times New Roman" w:hAnsi="Times New Roman" w:cs="Times New Roman" w:eastAsiaTheme="minorEastAsia"/>
          <w:sz w:val="21"/>
          <w:szCs w:val="21"/>
          <w:lang w:val="en-US" w:eastAsia="zh-CN"/>
        </w:rPr>
        <w:t>提交复审，与</w:t>
      </w:r>
      <w:r>
        <w:rPr>
          <w:rFonts w:hint="eastAsia" w:ascii="Times New Roman" w:hAnsi="Times New Roman" w:cs="Times New Roman"/>
          <w:sz w:val="21"/>
          <w:szCs w:val="21"/>
          <w:lang w:val="en-US" w:eastAsia="zh-CN"/>
        </w:rPr>
        <w:t>伦理审查委员会</w:t>
      </w:r>
      <w:r>
        <w:rPr>
          <w:rFonts w:hint="default" w:ascii="Times New Roman" w:hAnsi="Times New Roman" w:cs="Times New Roman" w:eastAsiaTheme="minorEastAsia"/>
          <w:sz w:val="21"/>
          <w:szCs w:val="21"/>
          <w:lang w:val="en-US" w:eastAsia="zh-CN"/>
        </w:rPr>
        <w:t>委员</w:t>
      </w:r>
      <w:r>
        <w:rPr>
          <w:rFonts w:hint="eastAsia" w:ascii="Times New Roman" w:hAnsi="Times New Roman" w:cs="Times New Roman"/>
          <w:sz w:val="21"/>
          <w:szCs w:val="21"/>
          <w:lang w:val="en-US" w:eastAsia="zh-CN"/>
        </w:rPr>
        <w:t>和办公室</w:t>
      </w:r>
      <w:r>
        <w:rPr>
          <w:rFonts w:hint="default" w:ascii="Times New Roman" w:hAnsi="Times New Roman" w:cs="Times New Roman" w:eastAsiaTheme="minorEastAsia"/>
          <w:sz w:val="21"/>
          <w:szCs w:val="21"/>
          <w:lang w:val="en-US" w:eastAsia="zh-CN"/>
        </w:rPr>
        <w:t>沟通交流</w:t>
      </w:r>
      <w:r>
        <w:rPr>
          <w:rFonts w:hint="eastAsia" w:ascii="Times New Roman" w:hAnsi="Times New Roman" w:cs="Times New Roman"/>
          <w:sz w:val="21"/>
          <w:szCs w:val="21"/>
          <w:lang w:val="en-US" w:eastAsia="zh-CN"/>
        </w:rPr>
        <w:t>，还可以向医院质量管理部门申诉。</w:t>
      </w:r>
    </w:p>
    <w:p w14:paraId="7D2AE3C5">
      <w:pPr>
        <w:keepNext w:val="0"/>
        <w:keepLines w:val="0"/>
        <w:pageBreakBefore w:val="0"/>
        <w:widowControl w:val="0"/>
        <w:numPr>
          <w:ilvl w:val="0"/>
          <w:numId w:val="1"/>
        </w:numPr>
        <w:kinsoku/>
        <w:wordWrap/>
        <w:overflowPunct/>
        <w:topLinePunct w:val="0"/>
        <w:autoSpaceDE/>
        <w:autoSpaceDN/>
        <w:bidi w:val="0"/>
        <w:adjustRightInd/>
        <w:snapToGrid/>
        <w:spacing w:line="440" w:lineRule="exact"/>
        <w:textAlignment w:val="auto"/>
        <w:outlineLvl w:val="9"/>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伦理审查的费用</w:t>
      </w:r>
    </w:p>
    <w:p w14:paraId="31208382">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firstLine="0" w:firstLineChars="0"/>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药物临床试验项目合同的预算应包括伦理审查费用。</w:t>
      </w:r>
    </w:p>
    <w:p w14:paraId="191F434A">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firstLine="0" w:firstLineChars="0"/>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每个研究项目的伦理审查费用如下：</w:t>
      </w:r>
    </w:p>
    <w:p w14:paraId="6EAB86B3">
      <w:pPr>
        <w:keepNext w:val="0"/>
        <w:keepLines w:val="0"/>
        <w:pageBreakBefore w:val="0"/>
        <w:widowControl w:val="0"/>
        <w:numPr>
          <w:ilvl w:val="1"/>
          <w:numId w:val="5"/>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初始审查：如为会议审查，伦理评审费用为4000元/项•次；如为</w:t>
      </w:r>
      <w:r>
        <w:rPr>
          <w:rFonts w:hint="eastAsia" w:ascii="Times New Roman" w:hAnsi="Times New Roman" w:cs="Times New Roman"/>
          <w:color w:val="auto"/>
          <w:sz w:val="21"/>
          <w:szCs w:val="21"/>
          <w:lang w:val="en-US" w:eastAsia="zh-CN"/>
        </w:rPr>
        <w:t>简易程序审查</w:t>
      </w:r>
      <w:r>
        <w:rPr>
          <w:rFonts w:hint="default" w:ascii="Times New Roman" w:hAnsi="Times New Roman" w:cs="Times New Roman"/>
          <w:color w:val="auto"/>
          <w:sz w:val="21"/>
          <w:szCs w:val="21"/>
          <w:lang w:val="en-US" w:eastAsia="zh-CN"/>
        </w:rPr>
        <w:t>，伦理评审费为1000元/项•次。</w:t>
      </w:r>
    </w:p>
    <w:p w14:paraId="00442D40">
      <w:pPr>
        <w:keepNext w:val="0"/>
        <w:keepLines w:val="0"/>
        <w:pageBreakBefore w:val="0"/>
        <w:widowControl w:val="0"/>
        <w:numPr>
          <w:ilvl w:val="1"/>
          <w:numId w:val="5"/>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复审、跟踪审查：会议审查费用均为1000元/项•次。</w:t>
      </w:r>
    </w:p>
    <w:p w14:paraId="5B7ADDCB">
      <w:pPr>
        <w:keepNext w:val="0"/>
        <w:keepLines w:val="0"/>
        <w:pageBreakBefore w:val="0"/>
        <w:widowControl w:val="0"/>
        <w:numPr>
          <w:ilvl w:val="1"/>
          <w:numId w:val="5"/>
        </w:numPr>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其余不需要缴费。</w:t>
      </w:r>
    </w:p>
    <w:tbl>
      <w:tblPr>
        <w:tblStyle w:val="3"/>
        <w:tblW w:w="0" w:type="auto"/>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0"/>
        <w:gridCol w:w="6420"/>
      </w:tblGrid>
      <w:tr w14:paraId="5F1C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Pr>
          <w:p w14:paraId="50EB9360">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开户名</w:t>
            </w:r>
          </w:p>
        </w:tc>
        <w:tc>
          <w:tcPr>
            <w:tcW w:w="6420" w:type="dxa"/>
          </w:tcPr>
          <w:p w14:paraId="62140982">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泰州市海陵区财政局</w:t>
            </w:r>
          </w:p>
        </w:tc>
      </w:tr>
      <w:tr w14:paraId="6CF0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Pr>
          <w:p w14:paraId="78BAD766">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纳税人识别号</w:t>
            </w:r>
          </w:p>
        </w:tc>
        <w:tc>
          <w:tcPr>
            <w:tcW w:w="6420" w:type="dxa"/>
          </w:tcPr>
          <w:p w14:paraId="1F91BF65">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123212024690365372</w:t>
            </w:r>
          </w:p>
        </w:tc>
      </w:tr>
      <w:tr w14:paraId="5F3B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Pr>
          <w:p w14:paraId="5EC646C2">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账  号</w:t>
            </w:r>
          </w:p>
        </w:tc>
        <w:tc>
          <w:tcPr>
            <w:tcW w:w="6420" w:type="dxa"/>
          </w:tcPr>
          <w:p w14:paraId="06185C35">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32001768636051156760</w:t>
            </w:r>
          </w:p>
        </w:tc>
      </w:tr>
      <w:tr w14:paraId="3EF8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Pr>
          <w:p w14:paraId="61035D7C">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开户行</w:t>
            </w:r>
          </w:p>
        </w:tc>
        <w:tc>
          <w:tcPr>
            <w:tcW w:w="6420" w:type="dxa"/>
          </w:tcPr>
          <w:p w14:paraId="2097672A">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中国建设银行股份有限公司泰州五一路支行</w:t>
            </w:r>
          </w:p>
        </w:tc>
      </w:tr>
    </w:tbl>
    <w:p w14:paraId="7DEABBB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伦理审查费归医院财务处统一管理。</w:t>
      </w:r>
    </w:p>
    <w:p w14:paraId="5E19BA2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textAlignment w:val="auto"/>
        <w:rPr>
          <w:rFonts w:hint="default" w:ascii="Times New Roman" w:hAnsi="Times New Roman" w:cs="Times New Roman"/>
          <w:strike/>
          <w:dstrike w:val="0"/>
          <w:sz w:val="21"/>
          <w:szCs w:val="21"/>
          <w:highlight w:val="yellow"/>
          <w:lang w:val="en-US" w:eastAsia="zh-CN"/>
        </w:rPr>
      </w:pPr>
      <w:r>
        <w:rPr>
          <w:rFonts w:hint="default" w:ascii="Times New Roman" w:hAnsi="Times New Roman" w:cs="Times New Roman"/>
          <w:color w:val="auto"/>
          <w:sz w:val="21"/>
          <w:szCs w:val="21"/>
          <w:highlight w:val="none"/>
          <w:lang w:val="en-US" w:eastAsia="zh-CN"/>
        </w:rPr>
        <w:t>备注：缴纳伦理费需在汇款单详细注明</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伦理评审费+项目简称</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；伦理审查费应在</w:t>
      </w:r>
      <w:r>
        <w:rPr>
          <w:rFonts w:hint="eastAsia" w:ascii="Times New Roman" w:hAnsi="Times New Roman" w:cs="Times New Roman"/>
          <w:color w:val="auto"/>
          <w:sz w:val="21"/>
          <w:szCs w:val="21"/>
          <w:highlight w:val="none"/>
          <w:lang w:val="en-US" w:eastAsia="zh-CN"/>
        </w:rPr>
        <w:t>临床试验伦理审查委员会</w:t>
      </w:r>
      <w:r>
        <w:rPr>
          <w:rFonts w:hint="default" w:ascii="Times New Roman" w:hAnsi="Times New Roman" w:cs="Times New Roman"/>
          <w:color w:val="auto"/>
          <w:sz w:val="21"/>
          <w:szCs w:val="21"/>
          <w:highlight w:val="none"/>
          <w:lang w:val="en-US" w:eastAsia="zh-CN"/>
        </w:rPr>
        <w:t>召开前交纳</w:t>
      </w:r>
      <w:r>
        <w:rPr>
          <w:rFonts w:hint="eastAsia" w:ascii="Times New Roman" w:hAnsi="Times New Roman" w:cs="Times New Roman"/>
          <w:color w:val="auto"/>
          <w:sz w:val="21"/>
          <w:szCs w:val="21"/>
          <w:highlight w:val="none"/>
          <w:lang w:val="en-US" w:eastAsia="zh-CN"/>
        </w:rPr>
        <w:t>，并</w:t>
      </w:r>
      <w:r>
        <w:rPr>
          <w:rFonts w:hint="default" w:ascii="Times New Roman" w:hAnsi="Times New Roman" w:cs="Times New Roman"/>
          <w:color w:val="auto"/>
          <w:sz w:val="21"/>
          <w:szCs w:val="21"/>
          <w:highlight w:val="none"/>
          <w:lang w:val="en-US" w:eastAsia="zh-CN"/>
        </w:rPr>
        <w:t>出具该项目的伦理审查费汇款凭证。</w:t>
      </w:r>
    </w:p>
    <w:p w14:paraId="38969139">
      <w:pPr>
        <w:keepNext w:val="0"/>
        <w:keepLines w:val="0"/>
        <w:pageBreakBefore w:val="0"/>
        <w:widowControl w:val="0"/>
        <w:numPr>
          <w:ilvl w:val="0"/>
          <w:numId w:val="1"/>
        </w:numPr>
        <w:kinsoku/>
        <w:wordWrap/>
        <w:overflowPunct/>
        <w:topLinePunct w:val="0"/>
        <w:autoSpaceDE/>
        <w:autoSpaceDN/>
        <w:bidi w:val="0"/>
        <w:adjustRightInd/>
        <w:snapToGrid/>
        <w:spacing w:line="440" w:lineRule="exact"/>
        <w:textAlignment w:val="auto"/>
        <w:outlineLvl w:val="9"/>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联系方式</w:t>
      </w:r>
    </w:p>
    <w:p w14:paraId="410C54D7">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sz w:val="21"/>
          <w:szCs w:val="21"/>
          <w:lang w:val="en-US" w:eastAsia="zh-CN"/>
        </w:rPr>
        <w:t>伦理审查委员会办公室：</w:t>
      </w:r>
      <w:r>
        <w:rPr>
          <w:rFonts w:hint="eastAsia" w:ascii="Times New Roman" w:hAnsi="Times New Roman" w:cs="Times New Roman"/>
          <w:color w:val="auto"/>
          <w:sz w:val="21"/>
          <w:szCs w:val="21"/>
          <w:lang w:val="en-US" w:eastAsia="zh-CN"/>
        </w:rPr>
        <w:t>行政楼8楼</w:t>
      </w:r>
    </w:p>
    <w:p w14:paraId="207996BA">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办公室电话：0523-80185086</w:t>
      </w:r>
    </w:p>
    <w:p w14:paraId="0AB52885">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联系人：高丽</w:t>
      </w:r>
    </w:p>
    <w:p w14:paraId="211E2768">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Email：</w:t>
      </w:r>
      <w:r>
        <w:rPr>
          <w:rFonts w:hint="default" w:ascii="Times New Roman" w:hAnsi="Times New Roman" w:cs="Times New Roman"/>
          <w:sz w:val="21"/>
          <w:szCs w:val="21"/>
          <w:highlight w:val="none"/>
          <w:lang w:val="en-US" w:eastAsia="zh-CN"/>
        </w:rPr>
        <w:t>tzsyllwyh@163.com</w:t>
      </w:r>
    </w:p>
    <w:p w14:paraId="7FC05A2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sz w:val="24"/>
          <w:szCs w:val="24"/>
          <w:lang w:val="en-US" w:eastAsia="zh-CN"/>
        </w:rPr>
      </w:pPr>
    </w:p>
    <w:p w14:paraId="2C0A0D7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default" w:ascii="Times New Roman" w:hAnsi="Times New Roman" w:cs="Times New Roman"/>
          <w:sz w:val="21"/>
          <w:szCs w:val="21"/>
          <w:lang w:val="en-US" w:eastAsia="zh-CN"/>
        </w:rPr>
      </w:pPr>
      <w:r>
        <w:rPr>
          <w:rFonts w:hint="default" w:ascii="Times New Roman" w:hAnsi="Times New Roman" w:cs="Times New Roman"/>
          <w:b/>
          <w:bCs/>
          <w:sz w:val="21"/>
          <w:szCs w:val="21"/>
          <w:lang w:val="en-US" w:eastAsia="zh-CN"/>
        </w:rPr>
        <w:t>Ⅳ 参考依据</w:t>
      </w:r>
    </w:p>
    <w:p w14:paraId="4BFF7DBF">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国家药品监督管理局、国家卫生健康委、国家中医药管理局、国家疾病预防控制局，《药物临床试验质量管理规范（2026年修订）》，2026年9月</w:t>
      </w:r>
    </w:p>
    <w:p w14:paraId="325951BE">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国家卫生健康委、教育部、科技部、国家中医药局，《涉及人的生命科学和医学研究伦理审查办法》，2023年2月</w:t>
      </w:r>
    </w:p>
    <w:p w14:paraId="3E1563D2">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国家卫生健康委医学伦理专家委员会办公室和中国医院协会，《涉及人的临床研究伦理审查委员会建设指南》，2023年6月</w:t>
      </w:r>
    </w:p>
    <w:p w14:paraId="6934FD9C">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熊宁宁主编，科学出版社，《伦理委员会制度与操作规程（第3版）》，2013年10月</w:t>
      </w:r>
    </w:p>
    <w:p w14:paraId="64A8EEAC">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第64届世界医学大会，《赫尔辛基宣言》，2024年10月</w:t>
      </w:r>
    </w:p>
    <w:p w14:paraId="71FC76B7">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熊宁宁主编，科学出版社，《伦理委员会制度与操作规程（第4版）》，2021年4月</w:t>
      </w:r>
    </w:p>
    <w:p w14:paraId="79EC5497">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国家药品监督管理局，《药物临床试验伦理审查工作指导原则》，2010年11月</w:t>
      </w:r>
    </w:p>
    <w:p w14:paraId="3FF32FFF">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国家药品监督管理局，《药物警戒质量管理规范》，2021年12月</w:t>
      </w:r>
    </w:p>
    <w:p w14:paraId="2FE39E91">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国家药品监督管理局，《ICH E6(R3)药物临床试验质量管理规范技术指导原则》，2026年3月</w:t>
      </w:r>
    </w:p>
    <w:p w14:paraId="5C1BAE03">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sz w:val="21"/>
          <w:szCs w:val="21"/>
          <w:lang w:val="en-US" w:eastAsia="zh-CN"/>
        </w:rPr>
      </w:pPr>
    </w:p>
    <w:p w14:paraId="5F7D1C83">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b/>
          <w:bCs/>
          <w:sz w:val="21"/>
          <w:szCs w:val="21"/>
          <w:lang w:val="en-US" w:eastAsia="zh-CN"/>
        </w:rPr>
      </w:pPr>
      <w:r>
        <w:rPr>
          <w:rFonts w:hint="default" w:ascii="Times New Roman" w:hAnsi="Times New Roman" w:cs="Times New Roman" w:eastAsiaTheme="minorEastAsia"/>
          <w:b/>
          <w:bCs/>
          <w:sz w:val="21"/>
          <w:szCs w:val="21"/>
          <w:lang w:val="en-US" w:eastAsia="zh-CN"/>
        </w:rPr>
        <w:t>Ⅴ 附件表格</w:t>
      </w:r>
    </w:p>
    <w:p w14:paraId="574E527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Times New Roman" w:hAnsi="Times New Roman" w:cs="Times New Roman" w:eastAsiaTheme="minorEastAsia"/>
          <w:sz w:val="21"/>
          <w:szCs w:val="21"/>
          <w:lang w:eastAsia="zh-CN"/>
        </w:rPr>
      </w:pPr>
      <w:r>
        <w:rPr>
          <w:rFonts w:hint="eastAsia"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 xml:space="preserve">1 </w:t>
      </w:r>
      <w:r>
        <w:rPr>
          <w:rFonts w:hint="default" w:ascii="Times New Roman" w:hAnsi="Times New Roman" w:cs="Times New Roman"/>
          <w:sz w:val="21"/>
          <w:szCs w:val="21"/>
        </w:rPr>
        <w:t>送审文件清单</w:t>
      </w:r>
      <w:r>
        <w:rPr>
          <w:rFonts w:hint="eastAsia" w:ascii="Times New Roman" w:hAnsi="Times New Roman" w:cs="Times New Roman"/>
          <w:sz w:val="21"/>
          <w:szCs w:val="21"/>
          <w:lang w:eastAsia="zh-CN"/>
        </w:rPr>
        <w:t>（</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AF-001-2.0</w:t>
      </w:r>
      <w:r>
        <w:rPr>
          <w:rFonts w:hint="eastAsia" w:ascii="Times New Roman" w:hAnsi="Times New Roman" w:cs="Times New Roman"/>
          <w:sz w:val="21"/>
          <w:szCs w:val="21"/>
          <w:lang w:eastAsia="zh-CN"/>
        </w:rPr>
        <w:t>）</w:t>
      </w:r>
    </w:p>
    <w:p w14:paraId="4477F7C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Times New Roman" w:hAnsi="Times New Roman" w:cs="Times New Roman"/>
          <w:sz w:val="21"/>
          <w:szCs w:val="21"/>
        </w:rPr>
      </w:pPr>
      <w:r>
        <w:rPr>
          <w:rFonts w:hint="eastAsia"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2 药物临床试验初始审查申请</w:t>
      </w:r>
      <w:r>
        <w:rPr>
          <w:rFonts w:hint="eastAsia" w:ascii="Times New Roman" w:hAnsi="Times New Roman" w:cs="Times New Roman"/>
          <w:sz w:val="21"/>
          <w:szCs w:val="21"/>
          <w:lang w:eastAsia="zh-CN"/>
        </w:rPr>
        <w:t>（</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AF-002-2.0</w:t>
      </w:r>
      <w:r>
        <w:rPr>
          <w:rFonts w:hint="eastAsia" w:ascii="Times New Roman" w:hAnsi="Times New Roman" w:cs="Times New Roman"/>
          <w:sz w:val="21"/>
          <w:szCs w:val="21"/>
          <w:lang w:eastAsia="zh-CN"/>
        </w:rPr>
        <w:t>）</w:t>
      </w:r>
    </w:p>
    <w:p w14:paraId="2964517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Times New Roman" w:hAnsi="Times New Roman" w:cs="Times New Roman"/>
          <w:sz w:val="21"/>
          <w:szCs w:val="21"/>
        </w:rPr>
      </w:pPr>
      <w:r>
        <w:rPr>
          <w:rFonts w:hint="eastAsia"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 xml:space="preserve">3 </w:t>
      </w:r>
      <w:r>
        <w:rPr>
          <w:rFonts w:hint="default" w:ascii="Times New Roman" w:hAnsi="Times New Roman" w:cs="Times New Roman"/>
          <w:sz w:val="21"/>
          <w:szCs w:val="21"/>
        </w:rPr>
        <w:t>修正案审查申请</w:t>
      </w:r>
      <w:r>
        <w:rPr>
          <w:rFonts w:hint="eastAsia" w:ascii="Times New Roman" w:hAnsi="Times New Roman" w:cs="Times New Roman"/>
          <w:sz w:val="21"/>
          <w:szCs w:val="21"/>
          <w:lang w:eastAsia="zh-CN"/>
        </w:rPr>
        <w:t>（</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AF-003-2.0</w:t>
      </w:r>
      <w:r>
        <w:rPr>
          <w:rFonts w:hint="eastAsia" w:ascii="Times New Roman" w:hAnsi="Times New Roman" w:cs="Times New Roman"/>
          <w:sz w:val="21"/>
          <w:szCs w:val="21"/>
          <w:lang w:eastAsia="zh-CN"/>
        </w:rPr>
        <w:t>）</w:t>
      </w:r>
    </w:p>
    <w:p w14:paraId="3BF3259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Times New Roman" w:hAnsi="Times New Roman" w:cs="Times New Roman"/>
          <w:sz w:val="21"/>
          <w:szCs w:val="21"/>
        </w:rPr>
      </w:pPr>
      <w:r>
        <w:rPr>
          <w:rFonts w:hint="eastAsia"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 xml:space="preserve">4 </w:t>
      </w:r>
      <w:r>
        <w:rPr>
          <w:rFonts w:hint="default" w:ascii="Times New Roman" w:hAnsi="Times New Roman" w:cs="Times New Roman"/>
          <w:sz w:val="21"/>
          <w:szCs w:val="21"/>
        </w:rPr>
        <w:t>复审申请</w:t>
      </w:r>
      <w:r>
        <w:rPr>
          <w:rFonts w:hint="eastAsia" w:ascii="Times New Roman" w:hAnsi="Times New Roman" w:cs="Times New Roman"/>
          <w:sz w:val="21"/>
          <w:szCs w:val="21"/>
          <w:lang w:eastAsia="zh-CN"/>
        </w:rPr>
        <w:t>（</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AF-004-2.0</w:t>
      </w:r>
      <w:r>
        <w:rPr>
          <w:rFonts w:hint="eastAsia" w:ascii="Times New Roman" w:hAnsi="Times New Roman" w:cs="Times New Roman"/>
          <w:sz w:val="21"/>
          <w:szCs w:val="21"/>
          <w:lang w:eastAsia="zh-CN"/>
        </w:rPr>
        <w:t>）</w:t>
      </w:r>
    </w:p>
    <w:p w14:paraId="02F4319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附件5</w:t>
      </w:r>
      <w:r>
        <w:rPr>
          <w:rFonts w:hint="eastAsia" w:ascii="Times New Roman" w:hAnsi="Times New Roman" w:cs="Times New Roman"/>
          <w:sz w:val="21"/>
          <w:szCs w:val="21"/>
          <w:lang w:val="en-US" w:eastAsia="zh-CN"/>
        </w:rPr>
        <w:t xml:space="preserve"> 研究进展</w:t>
      </w:r>
      <w:r>
        <w:rPr>
          <w:rFonts w:hint="default" w:ascii="Times New Roman" w:hAnsi="Times New Roman" w:cs="Times New Roman" w:eastAsiaTheme="minorEastAsia"/>
          <w:sz w:val="21"/>
          <w:szCs w:val="21"/>
          <w:lang w:val="en-US" w:eastAsia="zh-CN"/>
        </w:rPr>
        <w:t>报告</w:t>
      </w:r>
      <w:r>
        <w:rPr>
          <w:rFonts w:hint="eastAsia" w:ascii="Times New Roman" w:hAnsi="Times New Roman" w:cs="Times New Roman"/>
          <w:sz w:val="21"/>
          <w:szCs w:val="21"/>
          <w:lang w:eastAsia="zh-CN"/>
        </w:rPr>
        <w:t>（</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AF-005-2.0</w:t>
      </w:r>
      <w:r>
        <w:rPr>
          <w:rFonts w:hint="eastAsia" w:ascii="Times New Roman" w:hAnsi="Times New Roman" w:cs="Times New Roman"/>
          <w:sz w:val="21"/>
          <w:szCs w:val="21"/>
          <w:lang w:eastAsia="zh-CN"/>
        </w:rPr>
        <w:t>）</w:t>
      </w:r>
    </w:p>
    <w:p w14:paraId="4460E10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Times New Roman" w:hAnsi="Times New Roman" w:cs="Times New Roman"/>
          <w:sz w:val="21"/>
          <w:szCs w:val="21"/>
        </w:rPr>
      </w:pPr>
      <w:r>
        <w:rPr>
          <w:rFonts w:hint="eastAsia" w:ascii="Times New Roman" w:hAnsi="Times New Roman" w:cs="Times New Roman"/>
          <w:sz w:val="21"/>
          <w:szCs w:val="21"/>
          <w:lang w:val="en-US" w:eastAsia="zh-CN"/>
        </w:rPr>
        <w:t xml:space="preserve">附件6 </w:t>
      </w:r>
      <w:r>
        <w:rPr>
          <w:rFonts w:hint="default" w:ascii="Times New Roman" w:hAnsi="Times New Roman" w:cs="Times New Roman"/>
          <w:sz w:val="21"/>
          <w:szCs w:val="21"/>
        </w:rPr>
        <w:t>严重不良事件报告</w:t>
      </w:r>
      <w:r>
        <w:rPr>
          <w:rFonts w:hint="eastAsia" w:ascii="Times New Roman" w:hAnsi="Times New Roman" w:cs="Times New Roman"/>
          <w:sz w:val="21"/>
          <w:szCs w:val="21"/>
          <w:lang w:eastAsia="zh-CN"/>
        </w:rPr>
        <w:t>（</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AF-006-2.0</w:t>
      </w:r>
      <w:r>
        <w:rPr>
          <w:rFonts w:hint="eastAsia" w:ascii="Times New Roman" w:hAnsi="Times New Roman" w:cs="Times New Roman"/>
          <w:sz w:val="21"/>
          <w:szCs w:val="21"/>
          <w:lang w:eastAsia="zh-CN"/>
        </w:rPr>
        <w:t>）</w:t>
      </w:r>
    </w:p>
    <w:p w14:paraId="4D166B5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sz w:val="21"/>
          <w:szCs w:val="21"/>
          <w:lang w:val="en-US" w:eastAsia="zh-CN"/>
        </w:rPr>
        <w:t>附件7</w:t>
      </w:r>
      <w:r>
        <w:rPr>
          <w:rFonts w:hint="eastAsia" w:ascii="Times New Roman" w:hAnsi="Times New Roman" w:cs="Times New Roman"/>
          <w:color w:val="auto"/>
          <w:sz w:val="21"/>
          <w:szCs w:val="21"/>
          <w:highlight w:val="none"/>
          <w:lang w:val="en-US" w:eastAsia="zh-CN"/>
        </w:rPr>
        <w:t xml:space="preserve"> SUSAR处理报告</w:t>
      </w:r>
      <w:r>
        <w:rPr>
          <w:rFonts w:hint="eastAsia" w:ascii="Times New Roman" w:hAnsi="Times New Roman" w:cs="Times New Roman"/>
          <w:sz w:val="21"/>
          <w:szCs w:val="21"/>
          <w:lang w:eastAsia="zh-CN"/>
        </w:rPr>
        <w:t>（</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AF-007-2.0</w:t>
      </w:r>
      <w:r>
        <w:rPr>
          <w:rFonts w:hint="eastAsia" w:ascii="Times New Roman" w:hAnsi="Times New Roman" w:cs="Times New Roman"/>
          <w:sz w:val="21"/>
          <w:szCs w:val="21"/>
          <w:lang w:eastAsia="zh-CN"/>
        </w:rPr>
        <w:t>）</w:t>
      </w:r>
    </w:p>
    <w:p w14:paraId="385CA6D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Times New Roman" w:hAnsi="Times New Roman" w:cs="Times New Roman"/>
          <w:sz w:val="21"/>
          <w:szCs w:val="21"/>
        </w:rPr>
      </w:pPr>
      <w:r>
        <w:rPr>
          <w:rFonts w:hint="eastAsia" w:ascii="Times New Roman" w:hAnsi="Times New Roman" w:cs="Times New Roman"/>
          <w:sz w:val="21"/>
          <w:szCs w:val="21"/>
          <w:lang w:val="en-US" w:eastAsia="zh-CN"/>
        </w:rPr>
        <w:t xml:space="preserve">附件8 </w:t>
      </w:r>
      <w:r>
        <w:rPr>
          <w:rFonts w:hint="default" w:ascii="Times New Roman" w:hAnsi="Times New Roman" w:cs="Times New Roman"/>
          <w:sz w:val="21"/>
          <w:szCs w:val="21"/>
        </w:rPr>
        <w:t>违背方案报告</w:t>
      </w:r>
      <w:r>
        <w:rPr>
          <w:rFonts w:hint="eastAsia" w:ascii="Times New Roman" w:hAnsi="Times New Roman" w:cs="Times New Roman"/>
          <w:sz w:val="21"/>
          <w:szCs w:val="21"/>
          <w:lang w:eastAsia="zh-CN"/>
        </w:rPr>
        <w:t>（</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AF-008-2.0</w:t>
      </w:r>
      <w:r>
        <w:rPr>
          <w:rFonts w:hint="eastAsia" w:ascii="Times New Roman" w:hAnsi="Times New Roman" w:cs="Times New Roman"/>
          <w:sz w:val="21"/>
          <w:szCs w:val="21"/>
          <w:lang w:eastAsia="zh-CN"/>
        </w:rPr>
        <w:t>）</w:t>
      </w:r>
    </w:p>
    <w:p w14:paraId="46C4DE1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Times New Roman" w:hAnsi="Times New Roman" w:cs="Times New Roman"/>
          <w:sz w:val="21"/>
          <w:szCs w:val="21"/>
        </w:rPr>
      </w:pPr>
      <w:r>
        <w:rPr>
          <w:rFonts w:hint="eastAsia" w:ascii="Times New Roman" w:hAnsi="Times New Roman" w:cs="Times New Roman"/>
          <w:sz w:val="21"/>
          <w:szCs w:val="21"/>
          <w:lang w:val="en-US" w:eastAsia="zh-CN"/>
        </w:rPr>
        <w:t xml:space="preserve">附件9 </w:t>
      </w:r>
      <w:r>
        <w:rPr>
          <w:rFonts w:hint="default" w:ascii="Times New Roman" w:hAnsi="Times New Roman" w:cs="Times New Roman"/>
          <w:sz w:val="21"/>
          <w:szCs w:val="21"/>
        </w:rPr>
        <w:t>暂停/</w:t>
      </w:r>
      <w:r>
        <w:rPr>
          <w:rFonts w:hint="eastAsia" w:ascii="Times New Roman" w:hAnsi="Times New Roman" w:cs="Times New Roman"/>
          <w:sz w:val="21"/>
          <w:szCs w:val="21"/>
          <w:lang w:val="en-US" w:eastAsia="zh-CN"/>
        </w:rPr>
        <w:t>终止</w:t>
      </w:r>
      <w:r>
        <w:rPr>
          <w:rFonts w:hint="default" w:ascii="Times New Roman" w:hAnsi="Times New Roman" w:cs="Times New Roman"/>
          <w:sz w:val="21"/>
          <w:szCs w:val="21"/>
        </w:rPr>
        <w:t>研究报告</w:t>
      </w:r>
      <w:r>
        <w:rPr>
          <w:rFonts w:hint="eastAsia" w:ascii="Times New Roman" w:hAnsi="Times New Roman" w:cs="Times New Roman"/>
          <w:sz w:val="21"/>
          <w:szCs w:val="21"/>
          <w:lang w:eastAsia="zh-CN"/>
        </w:rPr>
        <w:t>（</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AF-009-2.0</w:t>
      </w:r>
      <w:r>
        <w:rPr>
          <w:rFonts w:hint="eastAsia" w:ascii="Times New Roman" w:hAnsi="Times New Roman" w:cs="Times New Roman"/>
          <w:sz w:val="21"/>
          <w:szCs w:val="21"/>
          <w:lang w:eastAsia="zh-CN"/>
        </w:rPr>
        <w:t>）</w:t>
      </w:r>
    </w:p>
    <w:p w14:paraId="54A9BBB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Times New Roman" w:hAnsi="Times New Roman" w:cs="Times New Roman"/>
          <w:sz w:val="21"/>
          <w:szCs w:val="21"/>
        </w:rPr>
      </w:pPr>
      <w:r>
        <w:rPr>
          <w:rFonts w:hint="eastAsia" w:ascii="Times New Roman" w:hAnsi="Times New Roman" w:cs="Times New Roman"/>
          <w:sz w:val="21"/>
          <w:szCs w:val="21"/>
          <w:lang w:val="en-US" w:eastAsia="zh-CN"/>
        </w:rPr>
        <w:t xml:space="preserve">附件10 </w:t>
      </w:r>
      <w:r>
        <w:rPr>
          <w:rFonts w:hint="default" w:ascii="Times New Roman" w:hAnsi="Times New Roman" w:cs="Times New Roman"/>
          <w:sz w:val="21"/>
          <w:szCs w:val="21"/>
        </w:rPr>
        <w:t>研究完成报告</w:t>
      </w:r>
      <w:r>
        <w:rPr>
          <w:rFonts w:hint="eastAsia" w:ascii="Times New Roman" w:hAnsi="Times New Roman" w:cs="Times New Roman"/>
          <w:sz w:val="21"/>
          <w:szCs w:val="21"/>
          <w:lang w:eastAsia="zh-CN"/>
        </w:rPr>
        <w:t>（</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AF-010-2.0</w:t>
      </w:r>
      <w:r>
        <w:rPr>
          <w:rFonts w:hint="eastAsia" w:ascii="Times New Roman" w:hAnsi="Times New Roman" w:cs="Times New Roman"/>
          <w:sz w:val="21"/>
          <w:szCs w:val="21"/>
          <w:lang w:eastAsia="zh-CN"/>
        </w:rPr>
        <w:t>）</w:t>
      </w:r>
    </w:p>
    <w:p w14:paraId="4627714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Times New Roman" w:hAnsi="Times New Roman" w:cs="Times New Roman"/>
          <w:sz w:val="21"/>
          <w:szCs w:val="21"/>
        </w:rPr>
      </w:pPr>
      <w:r>
        <w:rPr>
          <w:rFonts w:hint="eastAsia" w:ascii="Times New Roman" w:hAnsi="Times New Roman" w:cs="Times New Roman"/>
          <w:sz w:val="21"/>
          <w:szCs w:val="21"/>
          <w:lang w:val="en-US" w:eastAsia="zh-CN"/>
        </w:rPr>
        <w:t xml:space="preserve">附件11 </w:t>
      </w:r>
      <w:r>
        <w:rPr>
          <w:rFonts w:hint="default" w:ascii="Times New Roman" w:hAnsi="Times New Roman" w:cs="Times New Roman"/>
          <w:sz w:val="21"/>
          <w:szCs w:val="21"/>
        </w:rPr>
        <w:t>补充/修改送审材料通知</w:t>
      </w:r>
      <w:r>
        <w:rPr>
          <w:rFonts w:hint="eastAsia" w:ascii="Times New Roman" w:hAnsi="Times New Roman" w:cs="Times New Roman"/>
          <w:sz w:val="21"/>
          <w:szCs w:val="21"/>
          <w:lang w:eastAsia="zh-CN"/>
        </w:rPr>
        <w:t>（</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AF-011-2.0</w:t>
      </w:r>
      <w:r>
        <w:rPr>
          <w:rFonts w:hint="eastAsia" w:ascii="Times New Roman" w:hAnsi="Times New Roman" w:cs="Times New Roman"/>
          <w:sz w:val="21"/>
          <w:szCs w:val="21"/>
          <w:lang w:eastAsia="zh-CN"/>
        </w:rPr>
        <w:t>）</w:t>
      </w:r>
    </w:p>
    <w:p w14:paraId="7D95694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Times New Roman" w:hAnsi="Times New Roman" w:cs="Times New Roman"/>
          <w:sz w:val="21"/>
          <w:szCs w:val="21"/>
        </w:rPr>
      </w:pPr>
      <w:r>
        <w:rPr>
          <w:rFonts w:hint="eastAsia" w:ascii="Times New Roman" w:hAnsi="Times New Roman" w:cs="Times New Roman"/>
          <w:sz w:val="21"/>
          <w:szCs w:val="21"/>
          <w:lang w:val="en-US" w:eastAsia="zh-CN"/>
        </w:rPr>
        <w:t xml:space="preserve">附件12 </w:t>
      </w:r>
      <w:r>
        <w:rPr>
          <w:rFonts w:hint="default" w:ascii="Times New Roman" w:hAnsi="Times New Roman" w:cs="Times New Roman"/>
          <w:sz w:val="21"/>
          <w:szCs w:val="21"/>
        </w:rPr>
        <w:t>受理通知</w:t>
      </w:r>
      <w:r>
        <w:rPr>
          <w:rFonts w:hint="eastAsia" w:ascii="Times New Roman" w:hAnsi="Times New Roman" w:cs="Times New Roman"/>
          <w:sz w:val="21"/>
          <w:szCs w:val="21"/>
          <w:lang w:eastAsia="zh-CN"/>
        </w:rPr>
        <w:t>（</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AF-012-2.0</w:t>
      </w:r>
      <w:r>
        <w:rPr>
          <w:rFonts w:hint="eastAsia" w:ascii="Times New Roman" w:hAnsi="Times New Roman" w:cs="Times New Roman"/>
          <w:sz w:val="21"/>
          <w:szCs w:val="21"/>
          <w:lang w:eastAsia="zh-CN"/>
        </w:rPr>
        <w:t>）</w:t>
      </w:r>
    </w:p>
    <w:p w14:paraId="200DEAB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Times New Roman" w:hAnsi="Times New Roman" w:cs="Times New Roman"/>
          <w:sz w:val="21"/>
          <w:szCs w:val="21"/>
          <w:lang w:eastAsia="zh-CN"/>
        </w:rPr>
      </w:pPr>
      <w:r>
        <w:rPr>
          <w:rFonts w:hint="eastAsia" w:ascii="Times New Roman" w:hAnsi="Times New Roman" w:cs="Times New Roman"/>
          <w:sz w:val="21"/>
          <w:szCs w:val="21"/>
          <w:lang w:val="en-US" w:eastAsia="zh-CN"/>
        </w:rPr>
        <w:t>附件13 SUSAR递交信</w:t>
      </w:r>
      <w:r>
        <w:rPr>
          <w:rFonts w:hint="eastAsia" w:ascii="Times New Roman" w:hAnsi="Times New Roman" w:cs="Times New Roman"/>
          <w:sz w:val="21"/>
          <w:szCs w:val="21"/>
          <w:lang w:eastAsia="zh-CN"/>
        </w:rPr>
        <w:t>（</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AF-013-2.0</w:t>
      </w:r>
      <w:r>
        <w:rPr>
          <w:rFonts w:hint="eastAsia" w:ascii="Times New Roman" w:hAnsi="Times New Roman" w:cs="Times New Roman"/>
          <w:sz w:val="21"/>
          <w:szCs w:val="21"/>
          <w:lang w:eastAsia="zh-CN"/>
        </w:rPr>
        <w:t>）</w:t>
      </w:r>
    </w:p>
    <w:p w14:paraId="3A9D514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附件14 研究经济利益声明（</w:t>
      </w:r>
      <w:r>
        <w:rPr>
          <w:rFonts w:hint="eastAsia" w:ascii="Times New Roman" w:hAnsi="Times New Roman" w:cs="Times New Roman"/>
          <w:sz w:val="21"/>
          <w:szCs w:val="21"/>
          <w:vertAlign w:val="baseline"/>
          <w:lang w:val="en-US" w:eastAsia="zh-CN"/>
        </w:rPr>
        <w:t>IEC-ZN-001-2.0-</w:t>
      </w:r>
      <w:r>
        <w:rPr>
          <w:rFonts w:hint="eastAsia" w:ascii="Times New Roman" w:hAnsi="Times New Roman" w:cs="Times New Roman"/>
          <w:sz w:val="21"/>
          <w:szCs w:val="21"/>
          <w:lang w:val="en-US" w:eastAsia="zh-CN"/>
        </w:rPr>
        <w:t>AF-014-2.0）</w:t>
      </w:r>
    </w:p>
    <w:p w14:paraId="167C5906">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2EB0E0"/>
    <w:multiLevelType w:val="singleLevel"/>
    <w:tmpl w:val="C42EB0E0"/>
    <w:lvl w:ilvl="0" w:tentative="0">
      <w:start w:val="1"/>
      <w:numFmt w:val="decimal"/>
      <w:suff w:val="space"/>
      <w:lvlText w:val="%1."/>
      <w:lvlJc w:val="left"/>
    </w:lvl>
  </w:abstractNum>
  <w:abstractNum w:abstractNumId="1">
    <w:nsid w:val="E25C2FC3"/>
    <w:multiLevelType w:val="multilevel"/>
    <w:tmpl w:val="E25C2FC3"/>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2FB0B702"/>
    <w:multiLevelType w:val="multilevel"/>
    <w:tmpl w:val="2FB0B702"/>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3">
    <w:nsid w:val="568645FC"/>
    <w:multiLevelType w:val="singleLevel"/>
    <w:tmpl w:val="568645FC"/>
    <w:lvl w:ilvl="0" w:tentative="0">
      <w:start w:val="1"/>
      <w:numFmt w:val="decimal"/>
      <w:suff w:val="nothing"/>
      <w:lvlText w:val="%1．"/>
      <w:lvlJc w:val="left"/>
      <w:pPr>
        <w:ind w:left="0" w:firstLine="400"/>
      </w:pPr>
      <w:rPr>
        <w:rFonts w:hint="default"/>
        <w:sz w:val="21"/>
        <w:szCs w:val="21"/>
      </w:rPr>
    </w:lvl>
  </w:abstractNum>
  <w:abstractNum w:abstractNumId="4">
    <w:nsid w:val="60D4DB18"/>
    <w:multiLevelType w:val="multilevel"/>
    <w:tmpl w:val="60D4DB18"/>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5">
    <w:nsid w:val="7C957754"/>
    <w:multiLevelType w:val="singleLevel"/>
    <w:tmpl w:val="7C957754"/>
    <w:lvl w:ilvl="0" w:tentative="0">
      <w:start w:val="1"/>
      <w:numFmt w:val="chineseCounting"/>
      <w:suff w:val="space"/>
      <w:lvlText w:val="%1、"/>
      <w:lvlJc w:val="left"/>
      <w:rPr>
        <w:rFonts w:hint="eastAsia"/>
      </w:rPr>
    </w:lvl>
  </w:abstractNum>
  <w:num w:numId="1">
    <w:abstractNumId w:val="5"/>
  </w:num>
  <w:num w:numId="2">
    <w:abstractNumId w:val="1"/>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BC4752"/>
    <w:rsid w:val="6DBC4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2026-10-28T06:13:00Z</dcterms:created>
  <dc:creator>RH</dc:creator>
  <cp:lastModifiedBy>RH</cp:lastModifiedBy>
  <dcterms:modified xsi:type="dcterms:W3CDTF">2026-10-28T06:14:08Z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FE4897D0BAD141D4A019FDA38600C74F_11</vt:lpwstr>
  </property>
  <property fmtid="{D5CDD505-2E9C-101B-9397-08002B2CF9AE}" pid="4" name="KSOTemplateDocerSaveRecord">
    <vt:lpwstr>eyJoZGlkIjoiNmVmMTI4NThlZmNlODA0ZDQ5MDA4MzFmOTIwZjBlYWIiLCJ1c2VySWQiOiIzMTM0NzU5MDMifQ==</vt:lpwstr>
  </property>
</Properties>
</file>