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9"/>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2"/>
          <w:rFonts w:hint="eastAsia" w:ascii="仿宋" w:hAnsi="仿宋" w:eastAsia="仿宋" w:cs="仿宋"/>
          <w:color w:val="auto"/>
          <w:sz w:val="32"/>
          <w:szCs w:val="32"/>
        </w:rPr>
        <w:t>附件</w:t>
      </w:r>
      <w:r>
        <w:rPr>
          <w:rStyle w:val="12"/>
          <w:rFonts w:hint="eastAsia" w:ascii="仿宋" w:hAnsi="仿宋" w:eastAsia="仿宋" w:cs="仿宋"/>
          <w:color w:val="auto"/>
          <w:sz w:val="32"/>
          <w:szCs w:val="32"/>
          <w:lang w:val="en-US" w:eastAsia="zh-CN"/>
        </w:rPr>
        <w:t>1</w:t>
      </w:r>
      <w:r>
        <w:rPr>
          <w:rStyle w:val="12"/>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67406B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6"/>
          <w:szCs w:val="36"/>
          <w:highlight w:val="none"/>
          <w:lang w:val="en-US" w:eastAsia="zh-CN"/>
        </w:rPr>
        <w:t>泰州第四人民医院公共责任险服务项目（二次）</w:t>
      </w:r>
    </w:p>
    <w:p w14:paraId="52220929">
      <w:pPr>
        <w:spacing w:line="276" w:lineRule="auto"/>
        <w:jc w:val="center"/>
        <w:rPr>
          <w:rFonts w:hint="eastAsia" w:ascii="黑体" w:hAnsi="宋体" w:eastAsia="黑体" w:cs="Times New Roman"/>
          <w:sz w:val="48"/>
          <w:szCs w:val="52"/>
          <w:lang w:val="en-US" w:eastAsia="zh-CN"/>
        </w:rPr>
      </w:pPr>
    </w:p>
    <w:p w14:paraId="3EEACB49">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9"/>
        <w:shd w:val="clear" w:color="auto" w:fill="FFFFFF"/>
        <w:spacing w:before="0" w:beforeAutospacing="0" w:after="0" w:afterAutospacing="0" w:line="432" w:lineRule="atLeast"/>
        <w:rPr>
          <w:rStyle w:val="12"/>
          <w:rFonts w:hint="eastAsia" w:ascii="仿宋" w:hAnsi="仿宋" w:eastAsia="仿宋" w:cs="仿宋"/>
          <w:color w:val="auto"/>
          <w:sz w:val="32"/>
          <w:szCs w:val="32"/>
        </w:rPr>
      </w:pPr>
    </w:p>
    <w:p w14:paraId="3753B3DC">
      <w:pPr>
        <w:pStyle w:val="9"/>
        <w:shd w:val="clear" w:color="auto" w:fill="FFFFFF"/>
        <w:spacing w:before="0" w:beforeAutospacing="0" w:after="0" w:afterAutospacing="0" w:line="432" w:lineRule="atLeast"/>
        <w:jc w:val="center"/>
        <w:rPr>
          <w:rStyle w:val="12"/>
          <w:rFonts w:hint="eastAsia" w:ascii="仿宋" w:hAnsi="仿宋" w:eastAsia="仿宋" w:cs="仿宋"/>
          <w:color w:val="auto"/>
          <w:sz w:val="44"/>
          <w:szCs w:val="44"/>
        </w:rPr>
      </w:pPr>
    </w:p>
    <w:p w14:paraId="1E0FF351">
      <w:pPr>
        <w:pStyle w:val="9"/>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2"/>
          <w:rFonts w:hint="eastAsia" w:ascii="仿宋" w:hAnsi="仿宋" w:eastAsia="仿宋" w:cs="仿宋"/>
          <w:color w:val="auto"/>
          <w:sz w:val="44"/>
          <w:szCs w:val="44"/>
        </w:rPr>
        <w:t>承诺书</w:t>
      </w:r>
    </w:p>
    <w:p w14:paraId="61EDA45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五、供应商3年内（从投标截止日期向前推算 3 年）无重大违法记录的书面声明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717B11">
          <w:pPr>
            <w:pStyle w:val="8"/>
            <w:tabs>
              <w:tab w:val="right" w:leader="dot" w:pos="8306"/>
            </w:tabs>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Cs w:val="28"/>
              <w:lang w:eastAsia="zh-CN"/>
            </w:rPr>
            <w:fldChar w:fldCharType="end"/>
          </w:r>
        </w:p>
      </w:sdtContent>
    </w:sdt>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2F76BDE">
            <w:pPr>
              <w:spacing w:line="400" w:lineRule="exact"/>
              <w:jc w:val="center"/>
              <w:rPr>
                <w:rFonts w:hint="eastAsia" w:eastAsia="宋体" w:cs="Times New Roman"/>
                <w:sz w:val="24"/>
                <w:szCs w:val="24"/>
              </w:rPr>
            </w:pPr>
            <w:r>
              <w:rPr>
                <w:rFonts w:hint="eastAsia" w:ascii="仿宋" w:hAnsi="仿宋" w:eastAsia="仿宋" w:cs="仿宋"/>
                <w:snapToGrid w:val="0"/>
                <w:color w:val="auto"/>
                <w:spacing w:val="6"/>
                <w:kern w:val="0"/>
                <w:sz w:val="24"/>
                <w:szCs w:val="24"/>
                <w:highlight w:val="none"/>
                <w:lang w:val="en-US" w:eastAsia="zh-CN" w:bidi="ar-SA"/>
              </w:rPr>
              <w:t>泰州第四人民医院公共责任险服务项目（二次</w:t>
            </w:r>
            <w:bookmarkStart w:id="23" w:name="_GoBack"/>
            <w:bookmarkEnd w:id="23"/>
            <w:r>
              <w:rPr>
                <w:rFonts w:hint="eastAsia" w:ascii="仿宋" w:hAnsi="仿宋" w:eastAsia="仿宋" w:cs="仿宋"/>
                <w:snapToGrid w:val="0"/>
                <w:color w:val="auto"/>
                <w:spacing w:val="6"/>
                <w:kern w:val="0"/>
                <w:sz w:val="24"/>
                <w:szCs w:val="24"/>
                <w:highlight w:val="none"/>
                <w:lang w:val="en-US" w:eastAsia="zh-CN" w:bidi="ar-SA"/>
              </w:rPr>
              <w:t>）</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numPr>
          <w:ilvl w:val="0"/>
          <w:numId w:val="1"/>
        </w:numPr>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供应商3年内（从投标截止日期向前推算3年）无重大违法记录的书面声明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2"/>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w:t>
      </w:r>
      <w:r>
        <w:rPr>
          <w:rFonts w:hint="eastAsia" w:ascii="黑体" w:eastAsia="黑体"/>
          <w:sz w:val="36"/>
          <w:lang w:val="en-US" w:eastAsia="zh-CN"/>
        </w:rPr>
        <w:t>中任</w:t>
      </w:r>
      <w:r>
        <w:rPr>
          <w:rFonts w:hint="eastAsia" w:ascii="黑体" w:eastAsia="黑体"/>
          <w:sz w:val="36"/>
          <w:lang w:eastAsia="zh-CN"/>
        </w:rPr>
        <w:t>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2"/>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outlineLvl w:val="9"/>
        <w:rPr>
          <w:rFonts w:hint="eastAsia"/>
          <w:sz w:val="21"/>
          <w:szCs w:val="21"/>
          <w:lang w:eastAsia="zh-CN"/>
        </w:rPr>
      </w:pPr>
      <w:bookmarkStart w:id="16" w:name="OLE_LINK13"/>
      <w:bookmarkStart w:id="17"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5"/>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endnoteReference w:id="0"/>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5"/>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outlineLvl w:val="9"/>
        <w:rPr>
          <w:sz w:val="21"/>
          <w:szCs w:val="21"/>
        </w:rPr>
      </w:pPr>
      <w:r>
        <w:rPr>
          <w:color w:val="000000"/>
          <w:sz w:val="21"/>
          <w:szCs w:val="21"/>
        </w:rPr>
        <w:t>企业名称（盖章）：</w:t>
      </w:r>
    </w:p>
    <w:p w14:paraId="7ED0FD2A">
      <w:pPr>
        <w:pStyle w:val="15"/>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r>
        <w:rPr>
          <w:rFonts w:hint="eastAsia"/>
          <w:color w:val="FF0000"/>
          <w:sz w:val="21"/>
          <w:szCs w:val="21"/>
          <w:u w:val="single"/>
          <w:lang w:val="en-US" w:eastAsia="zh-CN"/>
        </w:rPr>
        <w:t xml:space="preserve">保险业  </w:t>
      </w:r>
      <w:r>
        <w:rPr>
          <w:rFonts w:hint="eastAsia"/>
          <w:color w:val="FF0000"/>
          <w:sz w:val="21"/>
          <w:szCs w:val="21"/>
          <w:u w:val="single"/>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21978"/>
      <w:bookmarkStart w:id="21" w:name="_Toc9634"/>
      <w:bookmarkStart w:id="22" w:name="_Toc31172"/>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33EF2CB"/>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2977F78F">
      <w:pPr>
        <w:pStyle w:val="6"/>
        <w:numPr>
          <w:ilvl w:val="0"/>
          <w:numId w:val="0"/>
        </w:numPr>
        <w:snapToGrid w:val="0"/>
        <w:rPr>
          <w:rFonts w:hint="default" w:ascii="仿宋" w:hAnsi="仿宋" w:eastAsia="仿宋" w:cs="仿宋"/>
          <w:b w:val="0"/>
          <w:bCs w:val="0"/>
          <w:color w:val="auto"/>
          <w:sz w:val="28"/>
          <w:szCs w:val="28"/>
          <w:lang w:val="en-US" w:eastAsia="zh-C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abstractNum w:abstractNumId="1">
    <w:nsid w:val="4D133CC5"/>
    <w:multiLevelType w:val="singleLevel"/>
    <w:tmpl w:val="4D133CC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16095"/>
    <w:rsid w:val="44016095"/>
    <w:rsid w:val="5A0E3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ndnote reference"/>
    <w:basedOn w:val="11"/>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873</Words>
  <Characters>896</Characters>
  <Lines>0</Lines>
  <Paragraphs>0</Paragraphs>
  <TotalTime>0</TotalTime>
  <ScaleCrop>false</ScaleCrop>
  <LinksUpToDate>false</LinksUpToDate>
  <CharactersWithSpaces>983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2026-06-16T08:16:00Z</dcterms:created>
  <dc:creator>坐看云起</dc:creator>
  <cp:lastModifiedBy>坐看云起</cp:lastModifiedBy>
  <dcterms:modified xsi:type="dcterms:W3CDTF">2026-07-02T01:38:58Z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419F5DBFBF7E4286952D446CD098FAE0_11</vt:lpwstr>
  </property>
  <property fmtid="{D5CDD505-2E9C-101B-9397-08002B2CF9AE}" pid="4" name="KSOTemplateDocerSaveRecord">
    <vt:lpwstr>eyJoZGlkIjoiNTgzZThlMGZmNzgxN2MzZDVlYjkyZjRkNjg4NTdmMTQiLCJ1c2VySWQiOiI0NDc5MjIzNTMifQ==</vt:lpwstr>
  </property>
</Properties>
</file>