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16C367A8">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可燃气体探测器采购项目</w:t>
      </w:r>
    </w:p>
    <w:p w14:paraId="381C6FC2">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2435B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可燃气体探测器采购项目</w:t>
            </w:r>
          </w:p>
          <w:p w14:paraId="42F76BDE">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仪表行业</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31172"/>
      <w:bookmarkStart w:id="21" w:name="_Toc21978"/>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3D00D180"/>
    <w:p w14:paraId="302454BC">
      <w:bookmarkStart w:id="24" w:name="_GoBack"/>
      <w:bookmarkEnd w:id="24"/>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F66AA"/>
    <w:rsid w:val="7D2F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2026-03-12T02:41:00Z</dcterms:created>
  <dc:creator>cxccccccc</dc:creator>
  <cp:lastModifiedBy>cxccccccc</cp:lastModifiedBy>
  <dcterms:modified xsi:type="dcterms:W3CDTF">2026-03-12T02:42:45Z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69E2BDBA54B54969AC47F60D1E621CF9_11</vt:lpwstr>
  </property>
  <property fmtid="{D5CDD505-2E9C-101B-9397-08002B2CF9AE}" pid="4" name="KSOTemplateDocerSaveRecord">
    <vt:lpwstr>eyJoZGlkIjoiMDQ0ZjdhODg2MGE2YzljMGZlYmVlYWJiN2E5NWQ3MzEiLCJ1c2VySWQiOiI3NDE1MDA4MDUifQ==</vt:lpwstr>
  </property>
</Properties>
</file>