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9"/>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2"/>
          <w:rFonts w:hint="eastAsia" w:ascii="仿宋" w:hAnsi="仿宋" w:eastAsia="仿宋" w:cs="仿宋"/>
          <w:color w:val="auto"/>
          <w:sz w:val="32"/>
          <w:szCs w:val="32"/>
        </w:rPr>
        <w:t>附件</w:t>
      </w:r>
      <w:r>
        <w:rPr>
          <w:rStyle w:val="12"/>
          <w:rFonts w:hint="eastAsia" w:ascii="仿宋" w:hAnsi="仿宋" w:eastAsia="仿宋" w:cs="仿宋"/>
          <w:color w:val="auto"/>
          <w:sz w:val="32"/>
          <w:szCs w:val="32"/>
          <w:lang w:val="en-US" w:eastAsia="zh-CN"/>
        </w:rPr>
        <w:t>1</w:t>
      </w:r>
      <w:r>
        <w:rPr>
          <w:rStyle w:val="12"/>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16C367A8">
      <w:pPr>
        <w:spacing w:line="276" w:lineRule="auto"/>
        <w:jc w:val="center"/>
        <w:rPr>
          <w:rFonts w:hint="eastAsia" w:ascii="黑体" w:hAnsi="宋体" w:eastAsia="黑体" w:cs="Times New Roman"/>
          <w:sz w:val="48"/>
          <w:szCs w:val="52"/>
          <w:lang w:val="en-US" w:eastAsia="zh-CN"/>
        </w:rPr>
      </w:pPr>
      <w:r>
        <w:rPr>
          <w:rFonts w:hint="eastAsia" w:ascii="黑体" w:hAnsi="宋体" w:eastAsia="黑体" w:cs="Times New Roman"/>
          <w:sz w:val="48"/>
          <w:szCs w:val="52"/>
          <w:lang w:val="en-US" w:eastAsia="zh-CN"/>
        </w:rPr>
        <w:t>花卉租摆服务采购项目（二次）</w:t>
      </w:r>
    </w:p>
    <w:p w14:paraId="381C6FC2">
      <w:pPr>
        <w:spacing w:line="276" w:lineRule="auto"/>
        <w:jc w:val="center"/>
        <w:rPr>
          <w:rFonts w:hint="eastAsia" w:ascii="黑体" w:hAnsi="宋体" w:eastAsia="黑体" w:cs="Times New Roman"/>
          <w:sz w:val="48"/>
          <w:szCs w:val="52"/>
          <w:lang w:val="en-US" w:eastAsia="zh-CN"/>
        </w:rPr>
      </w:pPr>
    </w:p>
    <w:p w14:paraId="3EEACB49">
      <w:pPr>
        <w:pStyle w:val="4"/>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9"/>
        <w:shd w:val="clear" w:color="auto" w:fill="FFFFFF"/>
        <w:spacing w:before="0" w:beforeAutospacing="0" w:after="0" w:afterAutospacing="0" w:line="432" w:lineRule="atLeast"/>
        <w:rPr>
          <w:rStyle w:val="12"/>
          <w:rFonts w:hint="eastAsia" w:ascii="仿宋" w:hAnsi="仿宋" w:eastAsia="仿宋" w:cs="仿宋"/>
          <w:color w:val="auto"/>
          <w:sz w:val="32"/>
          <w:szCs w:val="32"/>
        </w:rPr>
      </w:pPr>
    </w:p>
    <w:p w14:paraId="3753B3DC">
      <w:pPr>
        <w:pStyle w:val="9"/>
        <w:shd w:val="clear" w:color="auto" w:fill="FFFFFF"/>
        <w:spacing w:before="0" w:beforeAutospacing="0" w:after="0" w:afterAutospacing="0" w:line="432" w:lineRule="atLeast"/>
        <w:jc w:val="center"/>
        <w:rPr>
          <w:rStyle w:val="12"/>
          <w:rFonts w:hint="eastAsia" w:ascii="仿宋" w:hAnsi="仿宋" w:eastAsia="仿宋" w:cs="仿宋"/>
          <w:color w:val="auto"/>
          <w:sz w:val="44"/>
          <w:szCs w:val="44"/>
        </w:rPr>
      </w:pPr>
    </w:p>
    <w:p w14:paraId="1E0FF351">
      <w:pPr>
        <w:pStyle w:val="9"/>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2"/>
          <w:rFonts w:hint="eastAsia" w:ascii="仿宋" w:hAnsi="仿宋" w:eastAsia="仿宋" w:cs="仿宋"/>
          <w:color w:val="auto"/>
          <w:sz w:val="44"/>
          <w:szCs w:val="44"/>
        </w:rPr>
        <w:t>承诺书</w:t>
      </w:r>
    </w:p>
    <w:p w14:paraId="61EDA45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4"/>
            <w:rPr>
              <w:rFonts w:ascii="宋体" w:hAnsi="宋体" w:eastAsia="宋体"/>
              <w:sz w:val="21"/>
            </w:rPr>
          </w:pPr>
        </w:p>
        <w:p w14:paraId="3AF51775">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五、供应商3年内（从投标截止日期向前推算 3 年）无重大违法记录的书面声明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717B11">
          <w:pPr>
            <w:pStyle w:val="8"/>
            <w:tabs>
              <w:tab w:val="right" w:leader="dot" w:pos="8306"/>
            </w:tabs>
            <w:rPr>
              <w:rFonts w:hint="eastAsia"/>
              <w:lang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_Toc20980 </w:instrText>
          </w:r>
          <w:r>
            <w:rPr>
              <w:rFonts w:hint="eastAsia" w:ascii="黑体" w:hAnsi="黑体" w:eastAsia="黑体" w:cs="黑体"/>
              <w:sz w:val="28"/>
              <w:szCs w:val="28"/>
              <w:lang w:eastAsia="zh-CN"/>
            </w:rPr>
            <w:fldChar w:fldCharType="separate"/>
          </w:r>
          <w:r>
            <w:rPr>
              <w:rFonts w:hint="eastAsia" w:ascii="黑体" w:hAnsi="黑体" w:eastAsia="黑体" w:cs="黑体"/>
              <w:bCs/>
              <w:kern w:val="44"/>
              <w:sz w:val="28"/>
              <w:szCs w:val="28"/>
              <w:lang w:val="en-US" w:eastAsia="zh-CN" w:bidi="ar-SA"/>
            </w:rPr>
            <w:t>十一、其他资质材料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_Toc20980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r>
            <w:rPr>
              <w:rFonts w:hint="eastAsia" w:ascii="黑体" w:hAnsi="黑体" w:eastAsia="黑体" w:cs="黑体"/>
              <w:szCs w:val="28"/>
              <w:lang w:eastAsia="zh-CN"/>
            </w:rPr>
            <w:fldChar w:fldCharType="end"/>
          </w:r>
        </w:p>
      </w:sdtContent>
    </w:sdt>
    <w:p w14:paraId="54B9C4EE">
      <w:pPr>
        <w:pStyle w:val="2"/>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0"/>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2435B3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花卉租摆服务采购项目（二次</w:t>
            </w:r>
            <w:bookmarkStart w:id="24" w:name="_GoBack"/>
            <w:bookmarkEnd w:id="24"/>
            <w:r>
              <w:rPr>
                <w:rFonts w:hint="eastAsia" w:ascii="仿宋" w:hAnsi="仿宋" w:eastAsia="仿宋" w:cs="仿宋"/>
                <w:sz w:val="28"/>
                <w:szCs w:val="28"/>
                <w:highlight w:val="none"/>
                <w:lang w:val="en-US" w:eastAsia="zh-CN"/>
              </w:rPr>
              <w:t>）</w:t>
            </w:r>
          </w:p>
          <w:p w14:paraId="42F76BDE">
            <w:pPr>
              <w:spacing w:line="400" w:lineRule="exact"/>
              <w:jc w:val="center"/>
              <w:rPr>
                <w:rFonts w:hint="eastAsia" w:eastAsia="宋体" w:cs="Times New Roman"/>
                <w:sz w:val="24"/>
                <w:szCs w:val="24"/>
              </w:rPr>
            </w:pP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供应商3年内（从投标截止日期向前推算3年）无重大违法记录的书面声明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2"/>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w:t>
      </w:r>
      <w:r>
        <w:rPr>
          <w:rFonts w:hint="eastAsia" w:ascii="黑体" w:eastAsia="黑体"/>
          <w:sz w:val="36"/>
          <w:lang w:val="en-US" w:eastAsia="zh-CN"/>
        </w:rPr>
        <w:t>中任</w:t>
      </w:r>
      <w:r>
        <w:rPr>
          <w:rFonts w:hint="eastAsia" w:ascii="黑体" w:eastAsia="黑体"/>
          <w:sz w:val="36"/>
          <w:lang w:eastAsia="zh-CN"/>
        </w:rPr>
        <w:t>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outlineLvl w:val="9"/>
        <w:rPr>
          <w:rFonts w:hint="eastAsia"/>
          <w:sz w:val="21"/>
          <w:szCs w:val="21"/>
          <w:lang w:eastAsia="zh-CN"/>
        </w:rPr>
      </w:pPr>
      <w:bookmarkStart w:id="16" w:name="OLE_LINK14"/>
      <w:bookmarkStart w:id="17"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5"/>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endnoteReference w:id="0"/>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5"/>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outlineLvl w:val="9"/>
        <w:rPr>
          <w:sz w:val="21"/>
          <w:szCs w:val="21"/>
        </w:rPr>
      </w:pPr>
      <w:r>
        <w:rPr>
          <w:color w:val="000000"/>
          <w:sz w:val="21"/>
          <w:szCs w:val="21"/>
        </w:rPr>
        <w:t>企业名称（盖章）：</w:t>
      </w:r>
    </w:p>
    <w:p w14:paraId="7ED0FD2A">
      <w:pPr>
        <w:pStyle w:val="15"/>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FF0000"/>
          <w:sz w:val="21"/>
          <w:szCs w:val="21"/>
          <w:lang w:val="en-US" w:eastAsia="zh-CN"/>
        </w:rPr>
        <w:t>2.</w:t>
      </w:r>
      <w:r>
        <w:rPr>
          <w:rFonts w:hint="eastAsia"/>
          <w:color w:val="FF0000"/>
          <w:sz w:val="21"/>
          <w:szCs w:val="21"/>
        </w:rPr>
        <w:t>本项目所属行业:</w:t>
      </w:r>
      <w:r>
        <w:rPr>
          <w:rFonts w:hint="eastAsia"/>
          <w:b w:val="0"/>
          <w:bCs w:val="0"/>
          <w:color w:val="FF0000"/>
          <w:sz w:val="21"/>
          <w:szCs w:val="21"/>
          <w:u w:val="single"/>
          <w:lang w:val="en-US" w:eastAsia="zh-CN"/>
        </w:rPr>
        <w:t>花卉服务业</w:t>
      </w:r>
      <w:r>
        <w:rPr>
          <w:rFonts w:hint="eastAsia"/>
          <w:b/>
          <w:bCs/>
          <w:color w:val="FF0000"/>
          <w:sz w:val="21"/>
          <w:szCs w:val="21"/>
          <w:u w:val="single"/>
          <w:lang w:val="en-US" w:eastAsia="zh-CN"/>
        </w:rPr>
        <w:t xml:space="preserve"> </w:t>
      </w:r>
      <w:r>
        <w:rPr>
          <w:rFonts w:hint="eastAsia"/>
          <w:b/>
          <w:bCs/>
          <w:color w:val="FF0000"/>
          <w:sz w:val="21"/>
          <w:szCs w:val="21"/>
          <w:u w:val="none"/>
          <w:lang w:val="en-US" w:eastAsia="zh-CN"/>
        </w:rPr>
        <w:t xml:space="preserve"> </w:t>
      </w:r>
      <w:r>
        <w:rPr>
          <w:rFonts w:hint="eastAsia"/>
          <w:color w:val="000000"/>
          <w:sz w:val="21"/>
          <w:szCs w:val="21"/>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9634"/>
      <w:bookmarkStart w:id="21" w:name="_Toc31172"/>
      <w:bookmarkStart w:id="22" w:name="_Toc21978"/>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5"/>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0D5D83CA">
      <w:pPr>
        <w:pStyle w:val="5"/>
        <w:rPr>
          <w:rFonts w:ascii="Arial" w:hAnsi="Arial" w:cs="Arial"/>
          <w:b/>
          <w:bCs/>
          <w:szCs w:val="24"/>
        </w:rPr>
      </w:pPr>
    </w:p>
    <w:p w14:paraId="6A0B08AA">
      <w:pPr>
        <w:pStyle w:val="3"/>
        <w:rPr>
          <w:rFonts w:ascii="Arial" w:hAnsi="Arial" w:cs="Arial"/>
          <w:b/>
          <w:bCs/>
          <w:szCs w:val="24"/>
        </w:rPr>
      </w:pPr>
    </w:p>
    <w:p w14:paraId="2B56A11A">
      <w:pPr>
        <w:pStyle w:val="3"/>
        <w:rPr>
          <w:rFonts w:ascii="Arial" w:hAnsi="Arial" w:cs="Arial"/>
          <w:b/>
          <w:bCs/>
          <w:szCs w:val="24"/>
        </w:rPr>
      </w:pPr>
    </w:p>
    <w:p w14:paraId="701AE87F">
      <w:pPr>
        <w:pStyle w:val="4"/>
        <w:jc w:val="center"/>
        <w:outlineLvl w:val="0"/>
        <w:rPr>
          <w:rFonts w:hint="eastAsia" w:ascii="黑体" w:hAnsi="Calibri" w:eastAsia="黑体" w:cs="Times New Roman"/>
          <w:b/>
          <w:bCs/>
          <w:kern w:val="44"/>
          <w:sz w:val="36"/>
          <w:szCs w:val="44"/>
          <w:lang w:val="en-US" w:eastAsia="zh-CN" w:bidi="ar-SA"/>
        </w:rPr>
      </w:pPr>
      <w:bookmarkStart w:id="23" w:name="_Toc20980"/>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p w14:paraId="2C6E5FA6"/>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303302C2">
      <w:pPr>
        <w:pStyle w:val="6"/>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abstractNum w:abstractNumId="1">
    <w:nsid w:val="4D133CC5"/>
    <w:multiLevelType w:val="singleLevel"/>
    <w:tmpl w:val="4D133CC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50B69"/>
    <w:rsid w:val="49140937"/>
    <w:rsid w:val="64350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ndnote reference"/>
    <w:basedOn w:val="11"/>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1772</Words>
  <Characters>1799</Characters>
  <Lines>0</Lines>
  <Paragraphs>0</Paragraphs>
  <TotalTime>110</TotalTime>
  <ScaleCrop>false</ScaleCrop>
  <LinksUpToDate>false</LinksUpToDate>
  <CharactersWithSpaces>2705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2025-12-08T01:05:00Z</dcterms:created>
  <dc:creator>cxccccccc</dc:creator>
  <cp:lastModifiedBy>坐看云起</cp:lastModifiedBy>
  <dcterms:modified xsi:type="dcterms:W3CDTF">2025-12-19T02:57:05Z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4386C28CBBAC47899B1053BC40F8C260_11</vt:lpwstr>
  </property>
  <property fmtid="{D5CDD505-2E9C-101B-9397-08002B2CF9AE}" pid="4" name="KSOTemplateDocerSaveRecord">
    <vt:lpwstr>eyJoZGlkIjoiNTgzZThlMGZmNzgxN2MzZDVlYjkyZjRkNjg4NTdmMTQiLCJ1c2VySWQiOiI0NDc5MjIzNTMifQ==</vt:lpwstr>
  </property>
</Properties>
</file>