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11"/>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4"/>
          <w:rFonts w:hint="eastAsia" w:ascii="仿宋" w:hAnsi="仿宋" w:eastAsia="仿宋" w:cs="仿宋"/>
          <w:color w:val="auto"/>
          <w:sz w:val="32"/>
          <w:szCs w:val="32"/>
        </w:rPr>
        <w:t>附件</w:t>
      </w:r>
      <w:r>
        <w:rPr>
          <w:rStyle w:val="14"/>
          <w:rFonts w:hint="eastAsia" w:ascii="仿宋" w:hAnsi="仿宋" w:eastAsia="仿宋" w:cs="仿宋"/>
          <w:color w:val="auto"/>
          <w:sz w:val="32"/>
          <w:szCs w:val="32"/>
          <w:lang w:val="en-US" w:eastAsia="zh-CN"/>
        </w:rPr>
        <w:t>1</w:t>
      </w:r>
      <w:r>
        <w:rPr>
          <w:rStyle w:val="14"/>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0FB672AA">
      <w:pPr>
        <w:spacing w:line="276" w:lineRule="auto"/>
        <w:jc w:val="center"/>
        <w:rPr>
          <w:rFonts w:hint="eastAsia" w:ascii="黑体" w:hAnsi="宋体" w:eastAsia="黑体"/>
          <w:sz w:val="48"/>
          <w:szCs w:val="52"/>
          <w:lang w:val="en-US" w:eastAsia="zh-CN"/>
        </w:rPr>
      </w:pPr>
    </w:p>
    <w:p w14:paraId="5428D8C4">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lang w:val="en-US" w:eastAsia="zh-CN"/>
        </w:rPr>
        <w:t>医院环评的技术改造服务项目</w:t>
      </w:r>
    </w:p>
    <w:p w14:paraId="072BDAB4">
      <w:pPr>
        <w:pStyle w:val="4"/>
        <w:rPr>
          <w:rFonts w:hint="eastAsia"/>
          <w:lang w:val="en-US" w:eastAsia="zh-CN"/>
        </w:rPr>
      </w:pPr>
    </w:p>
    <w:p w14:paraId="327BA144">
      <w:pPr>
        <w:pStyle w:val="4"/>
        <w:rPr>
          <w:rFonts w:hint="eastAsia"/>
          <w:lang w:val="en-US" w:eastAsia="zh-CN"/>
        </w:rPr>
      </w:pPr>
    </w:p>
    <w:p w14:paraId="2E80EC7B">
      <w:pPr>
        <w:spacing w:line="276" w:lineRule="auto"/>
        <w:jc w:val="center"/>
        <w:outlineLvl w:val="9"/>
        <w:rPr>
          <w:rFonts w:hint="eastAsia" w:ascii="黑体" w:eastAsia="黑体"/>
          <w:sz w:val="96"/>
          <w:szCs w:val="120"/>
        </w:rPr>
      </w:pPr>
      <w:bookmarkStart w:id="0" w:name="_Toc14168"/>
      <w:r>
        <w:rPr>
          <w:rFonts w:hint="eastAsia" w:ascii="黑体" w:eastAsia="黑体"/>
          <w:sz w:val="96"/>
          <w:szCs w:val="120"/>
        </w:rPr>
        <w:t>报</w:t>
      </w:r>
      <w:bookmarkEnd w:id="0"/>
      <w:bookmarkStart w:id="24" w:name="_GoBack"/>
      <w:bookmarkEnd w:id="24"/>
    </w:p>
    <w:p w14:paraId="009A3F30">
      <w:pPr>
        <w:spacing w:line="276" w:lineRule="auto"/>
        <w:jc w:val="center"/>
        <w:outlineLvl w:val="9"/>
        <w:rPr>
          <w:rFonts w:hint="eastAsia" w:ascii="黑体" w:eastAsia="黑体"/>
          <w:sz w:val="96"/>
          <w:szCs w:val="120"/>
        </w:rPr>
      </w:pPr>
      <w:r>
        <w:rPr>
          <w:rFonts w:hint="eastAsia" w:ascii="黑体" w:eastAsia="黑体"/>
          <w:sz w:val="96"/>
          <w:szCs w:val="120"/>
        </w:rPr>
        <w:t>名</w:t>
      </w:r>
    </w:p>
    <w:p w14:paraId="14F14A09">
      <w:pPr>
        <w:spacing w:line="276" w:lineRule="auto"/>
        <w:jc w:val="center"/>
        <w:outlineLvl w:val="9"/>
        <w:rPr>
          <w:rFonts w:hint="eastAsia" w:ascii="黑体" w:eastAsia="黑体"/>
          <w:sz w:val="96"/>
          <w:szCs w:val="120"/>
        </w:rPr>
      </w:pPr>
      <w:r>
        <w:rPr>
          <w:rFonts w:hint="eastAsia" w:ascii="黑体" w:eastAsia="黑体"/>
          <w:sz w:val="96"/>
          <w:szCs w:val="120"/>
        </w:rPr>
        <w:t>文</w:t>
      </w:r>
    </w:p>
    <w:p w14:paraId="2A45E38E">
      <w:pPr>
        <w:spacing w:line="276" w:lineRule="auto"/>
        <w:jc w:val="center"/>
        <w:outlineLvl w:val="9"/>
        <w:rPr>
          <w:rFonts w:hint="eastAsia" w:ascii="黑体" w:eastAsia="黑体"/>
          <w:sz w:val="96"/>
          <w:szCs w:val="120"/>
        </w:rPr>
      </w:pPr>
      <w:bookmarkStart w:id="1" w:name="_Toc27035"/>
      <w:r>
        <w:rPr>
          <w:rFonts w:hint="eastAsia" w:ascii="黑体" w:eastAsia="黑体"/>
          <w:sz w:val="96"/>
          <w:szCs w:val="120"/>
        </w:rPr>
        <w:t>件</w:t>
      </w:r>
      <w:bookmarkEnd w:id="1"/>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11"/>
        <w:shd w:val="clear" w:color="auto" w:fill="FFFFFF"/>
        <w:spacing w:before="0" w:beforeAutospacing="0" w:after="0" w:afterAutospacing="0" w:line="432" w:lineRule="atLeast"/>
        <w:rPr>
          <w:rStyle w:val="14"/>
          <w:rFonts w:hint="eastAsia" w:ascii="仿宋" w:hAnsi="仿宋" w:eastAsia="仿宋" w:cs="仿宋"/>
          <w:color w:val="auto"/>
          <w:sz w:val="32"/>
          <w:szCs w:val="32"/>
        </w:rPr>
      </w:pPr>
    </w:p>
    <w:p w14:paraId="3753B3DC">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rPr>
      </w:pPr>
    </w:p>
    <w:p w14:paraId="1E0FF351">
      <w:pPr>
        <w:pStyle w:val="11"/>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4"/>
          <w:rFonts w:hint="eastAsia" w:ascii="仿宋" w:hAnsi="仿宋" w:eastAsia="仿宋" w:cs="仿宋"/>
          <w:color w:val="auto"/>
          <w:sz w:val="44"/>
          <w:szCs w:val="44"/>
        </w:rPr>
        <w:t>承诺书</w:t>
      </w:r>
    </w:p>
    <w:p w14:paraId="61EDA45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outlineLvl w:val="9"/>
        <w:rPr>
          <w:rFonts w:hint="eastAsia" w:ascii="仿宋" w:hAnsi="仿宋" w:eastAsia="仿宋" w:cs="仿宋"/>
          <w:kern w:val="2"/>
          <w:sz w:val="28"/>
          <w:szCs w:val="28"/>
          <w:lang w:val="en-US" w:eastAsia="zh-CN" w:bidi="ar-SA"/>
        </w:rPr>
      </w:pPr>
      <w:bookmarkStart w:id="2" w:name="_Toc10455"/>
      <w:r>
        <w:rPr>
          <w:rFonts w:hint="eastAsia" w:ascii="仿宋" w:hAnsi="仿宋" w:eastAsia="仿宋" w:cs="仿宋"/>
          <w:kern w:val="2"/>
          <w:sz w:val="28"/>
          <w:szCs w:val="28"/>
          <w:lang w:val="en-US" w:eastAsia="zh-CN" w:bidi="ar-SA"/>
        </w:rPr>
        <w:t>一、我方按照《中华人民共和国民法典》及本承诺提供服务。</w:t>
      </w:r>
      <w:bookmarkEnd w:id="2"/>
    </w:p>
    <w:p w14:paraId="6305E75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134FFFA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8"/>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FD40350">
      <w:pPr>
        <w:rPr>
          <w:rFonts w:hint="eastAsia"/>
          <w:b/>
          <w:sz w:val="36"/>
          <w:szCs w:val="36"/>
        </w:rPr>
        <w:sectPr>
          <w:pgSz w:w="11906" w:h="16838"/>
          <w:pgMar w:top="1440" w:right="1800" w:bottom="1440" w:left="1800" w:header="992" w:footer="992" w:gutter="0"/>
          <w:pgNumType w:fmt="decimal"/>
          <w:cols w:space="720" w:num="1"/>
          <w:docGrid w:type="lines" w:linePitch="312" w:charSpace="0"/>
        </w:sectPr>
      </w:pPr>
    </w:p>
    <w:p w14:paraId="58365D5C">
      <w:pPr>
        <w:rPr>
          <w:rFonts w:hint="eastAsia"/>
          <w:sz w:val="28"/>
          <w:szCs w:val="28"/>
        </w:rPr>
      </w:pPr>
    </w:p>
    <w:sdt>
      <w:sdtPr>
        <w:rPr>
          <w:rFonts w:ascii="宋体" w:hAnsi="宋体" w:eastAsia="宋体" w:cs="Times New Roman"/>
          <w:kern w:val="2"/>
          <w:sz w:val="21"/>
          <w:szCs w:val="24"/>
          <w:lang w:val="en-US" w:eastAsia="zh-CN" w:bidi="ar-SA"/>
        </w:rPr>
        <w:id w:val="147465612"/>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14:paraId="4F617029">
          <w:pPr>
            <w:spacing w:before="0" w:beforeLines="0" w:after="0" w:afterLines="0" w:line="240" w:lineRule="auto"/>
            <w:ind w:left="0" w:leftChars="0" w:right="0" w:rightChars="0" w:firstLine="0" w:firstLineChars="0"/>
            <w:jc w:val="center"/>
            <w:rPr>
              <w:rFonts w:hint="eastAsia" w:ascii="黑体" w:hAnsi="黑体" w:eastAsia="黑体" w:cs="黑体"/>
              <w:b/>
              <w:bCs/>
              <w:sz w:val="40"/>
              <w:szCs w:val="40"/>
            </w:rPr>
          </w:pPr>
          <w:r>
            <w:rPr>
              <w:rFonts w:hint="eastAsia" w:ascii="黑体" w:hAnsi="黑体" w:eastAsia="黑体" w:cs="黑体"/>
              <w:b/>
              <w:bCs/>
              <w:sz w:val="40"/>
              <w:szCs w:val="40"/>
            </w:rPr>
            <w:t>目</w:t>
          </w:r>
          <w:r>
            <w:rPr>
              <w:rFonts w:hint="eastAsia" w:ascii="黑体" w:hAnsi="黑体" w:eastAsia="黑体" w:cs="黑体"/>
              <w:b/>
              <w:bCs/>
              <w:sz w:val="40"/>
              <w:szCs w:val="40"/>
              <w:lang w:val="en-US" w:eastAsia="zh-CN"/>
            </w:rPr>
            <w:t xml:space="preserve">    </w:t>
          </w:r>
          <w:r>
            <w:rPr>
              <w:rFonts w:hint="eastAsia" w:ascii="黑体" w:hAnsi="黑体" w:eastAsia="黑体" w:cs="黑体"/>
              <w:b/>
              <w:bCs/>
              <w:sz w:val="40"/>
              <w:szCs w:val="40"/>
            </w:rPr>
            <w:t>录</w:t>
          </w:r>
        </w:p>
        <w:p w14:paraId="6D35CC6D">
          <w:pPr>
            <w:pStyle w:val="4"/>
            <w:rPr>
              <w:rFonts w:ascii="宋体" w:hAnsi="宋体" w:eastAsia="宋体"/>
              <w:sz w:val="21"/>
            </w:rPr>
          </w:pPr>
        </w:p>
        <w:p w14:paraId="3AF51775">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TOC \o "1-1" \h \u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_Toc23725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一、</w:t>
          </w:r>
          <w:r>
            <w:rPr>
              <w:rFonts w:hint="eastAsia" w:ascii="黑体" w:hAnsi="黑体" w:eastAsia="黑体" w:cs="黑体"/>
              <w:sz w:val="28"/>
              <w:szCs w:val="28"/>
              <w:lang w:val="en-US" w:eastAsia="zh-CN"/>
            </w:rPr>
            <w:t>泰州市第四人民医院招标采购项目报名表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_Toc23725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3023BAD4">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_Toc4856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二、营业执照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_Toc4856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FB477D">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_Toc9236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三、法定代表人身份证明/授权委托书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_Toc9236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EAA0E7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_Toc6965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四</w:t>
          </w:r>
          <w:r>
            <w:rPr>
              <w:rFonts w:hint="eastAsia" w:ascii="黑体" w:hAnsi="黑体" w:eastAsia="黑体" w:cs="黑体"/>
              <w:sz w:val="28"/>
              <w:szCs w:val="28"/>
            </w:rPr>
            <w:t>、具备履行合同所必需的设备和专业技术能力的声明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_Toc6965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2A76B87">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_Toc8998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五、供应商3年</w:t>
          </w:r>
          <w:r>
            <w:rPr>
              <w:rFonts w:hint="eastAsia" w:ascii="黑体" w:hAnsi="黑体" w:eastAsia="黑体" w:cs="黑体"/>
              <w:sz w:val="28"/>
              <w:szCs w:val="28"/>
              <w:lang w:val="en-US" w:eastAsia="zh-CN"/>
            </w:rPr>
            <w:t>内（从投标截止日期向前推算3年）</w:t>
          </w:r>
          <w:r>
            <w:rPr>
              <w:rFonts w:hint="eastAsia" w:ascii="黑体" w:hAnsi="黑体" w:eastAsia="黑体" w:cs="黑体"/>
              <w:sz w:val="28"/>
              <w:szCs w:val="28"/>
              <w:lang w:eastAsia="zh-CN"/>
            </w:rPr>
            <w:t>无重大违法记录的书面声明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_Toc8998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5537600">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_Toc15682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六、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个月中任意一个月（不含投标当月）的财务状况报告复印件（至少包括资产负债表和利润表）或上一年度财务状况报告复印件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_Toc15682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51A558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_Toc11092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七、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个月中任意一个月（不含投标当月）的依法纳税相关材料复印件（如依法享受缓缴、免缴的需提供相关政策文件）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_Toc11092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46ABC9A">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_Toc30051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八、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个月中任意一个月（不含投标当月）的依法缴纳社会保障资金的相关材料（提供相关主管部门证明或银行代扣证明）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_Toc30051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0144A2B">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_Toc15894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九、未被“信用中国”网站（www.creditchina.gov.cn）列入失信被执行人、重大税收违法案件当事人名单、政府采购严重失信行为记录名单。（请提供网页截图）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_Toc15894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66B974E">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_Toc1098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十、</w:t>
          </w:r>
          <w:r>
            <w:rPr>
              <w:rFonts w:hint="eastAsia" w:ascii="黑体" w:hAnsi="黑体" w:eastAsia="黑体" w:cs="黑体"/>
              <w:sz w:val="28"/>
              <w:szCs w:val="28"/>
            </w:rPr>
            <w:t>企业声明函格式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247AC173">
          <w:pPr>
            <w:pStyle w:val="9"/>
            <w:tabs>
              <w:tab w:val="right" w:leader="dot" w:pos="8306"/>
            </w:tabs>
            <w:rPr>
              <w:rFonts w:hint="eastAsia" w:ascii="Calibri" w:hAnsi="Calibri" w:eastAsia="宋体" w:cs="Times New Roman"/>
              <w:kern w:val="2"/>
              <w:sz w:val="21"/>
              <w:szCs w:val="24"/>
              <w:lang w:val="en-US" w:eastAsia="zh-CN" w:bidi="ar-SA"/>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_Toc20980 </w:instrText>
          </w:r>
          <w:r>
            <w:rPr>
              <w:rFonts w:hint="eastAsia" w:ascii="黑体" w:hAnsi="黑体" w:eastAsia="黑体" w:cs="黑体"/>
              <w:sz w:val="28"/>
              <w:szCs w:val="28"/>
              <w:lang w:eastAsia="zh-CN"/>
            </w:rPr>
            <w:fldChar w:fldCharType="separate"/>
          </w:r>
          <w:r>
            <w:rPr>
              <w:rFonts w:hint="eastAsia" w:ascii="黑体" w:hAnsi="黑体" w:eastAsia="黑体" w:cs="黑体"/>
              <w:bCs/>
              <w:kern w:val="44"/>
              <w:sz w:val="28"/>
              <w:szCs w:val="28"/>
              <w:lang w:val="en-US" w:eastAsia="zh-CN" w:bidi="ar-SA"/>
            </w:rPr>
            <w:t>十一、其他资质材料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_Toc20980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r>
            <w:rPr>
              <w:rFonts w:hint="eastAsia" w:ascii="黑体" w:hAnsi="黑体" w:eastAsia="黑体" w:cs="黑体"/>
              <w:szCs w:val="28"/>
              <w:lang w:eastAsia="zh-CN"/>
            </w:rPr>
            <w:fldChar w:fldCharType="end"/>
          </w:r>
        </w:p>
      </w:sdtContent>
    </w:sdt>
    <w:p w14:paraId="7C717B11">
      <w:pPr>
        <w:pStyle w:val="4"/>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54B9C4EE">
      <w:pPr>
        <w:pStyle w:val="2"/>
        <w:spacing w:before="100" w:beforeAutospacing="1" w:after="100" w:afterAutospacing="1" w:line="240" w:lineRule="auto"/>
        <w:jc w:val="center"/>
        <w:rPr>
          <w:rFonts w:ascii="黑体" w:eastAsia="黑体"/>
          <w:sz w:val="36"/>
          <w:lang w:val="en-US" w:eastAsia="zh-CN"/>
        </w:rPr>
      </w:pPr>
      <w:bookmarkStart w:id="3" w:name="_Toc23725"/>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bookmarkEnd w:id="3"/>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3E09F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宋体" w:hAnsi="宋体" w:eastAsia="宋体" w:cs="宋体"/>
                <w:b w:val="0"/>
                <w:bCs w:val="0"/>
                <w:i w:val="0"/>
                <w:iCs w:val="0"/>
                <w:caps w:val="0"/>
                <w:color w:val="333333"/>
                <w:spacing w:val="0"/>
                <w:sz w:val="24"/>
                <w:szCs w:val="24"/>
                <w:shd w:val="clear" w:fill="FFFFFF"/>
                <w:lang w:val="en-US" w:eastAsia="zh-CN"/>
              </w:rPr>
              <w:t>医院环评的技术改造服务项目</w:t>
            </w:r>
          </w:p>
          <w:p w14:paraId="3B355F69">
            <w:pPr>
              <w:spacing w:line="400" w:lineRule="exact"/>
              <w:jc w:val="center"/>
              <w:rPr>
                <w:rFonts w:hint="eastAsia" w:eastAsia="宋体" w:cs="Times New Roman"/>
                <w:sz w:val="24"/>
                <w:szCs w:val="24"/>
              </w:rPr>
            </w:pP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lang w:eastAsia="zh-CN"/>
              </w:rPr>
              <w:t>☑</w:t>
            </w: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bookmarkStart w:id="4" w:name="_Toc4856"/>
      <w:r>
        <w:rPr>
          <w:rFonts w:hint="eastAsia" w:ascii="黑体" w:eastAsia="黑体"/>
          <w:sz w:val="36"/>
          <w:lang w:val="en-US" w:eastAsia="zh-CN"/>
        </w:rPr>
        <w:t>二、营业执照</w:t>
      </w:r>
      <w:bookmarkEnd w:id="4"/>
    </w:p>
    <w:p w14:paraId="43C7A6C8">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bookmarkStart w:id="5" w:name="_Toc9236"/>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bookmarkEnd w:id="5"/>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2024</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2"/>
        <w:spacing w:before="100" w:beforeAutospacing="1" w:after="100" w:afterAutospacing="1" w:line="500" w:lineRule="exact"/>
        <w:jc w:val="center"/>
        <w:rPr>
          <w:rFonts w:hint="eastAsia" w:ascii="黑体" w:eastAsia="黑体"/>
          <w:sz w:val="32"/>
          <w:szCs w:val="32"/>
        </w:rPr>
      </w:pPr>
      <w:bookmarkStart w:id="6" w:name="_Toc6965"/>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bookmarkEnd w:id="6"/>
    </w:p>
    <w:p w14:paraId="79480620">
      <w:pPr>
        <w:spacing w:before="100" w:beforeAutospacing="1" w:after="100" w:afterAutospacing="1" w:line="500" w:lineRule="exact"/>
        <w:jc w:val="center"/>
        <w:outlineLvl w:val="9"/>
        <w:rPr>
          <w:rFonts w:hint="eastAsia" w:ascii="黑体" w:eastAsia="黑体"/>
          <w:sz w:val="36"/>
        </w:rPr>
      </w:pPr>
    </w:p>
    <w:p w14:paraId="491213F8">
      <w:pPr>
        <w:spacing w:before="100" w:beforeAutospacing="1" w:after="100" w:afterAutospacing="1" w:line="500" w:lineRule="exact"/>
        <w:jc w:val="left"/>
        <w:outlineLvl w:val="9"/>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bookmarkStart w:id="7" w:name="_Toc26009"/>
      <w:r>
        <w:rPr>
          <w:rFonts w:hint="eastAsia" w:ascii="宋体" w:hAnsi="宋体" w:eastAsia="宋体" w:cs="宋体"/>
          <w:b w:val="0"/>
          <w:bCs w:val="0"/>
          <w:kern w:val="2"/>
          <w:sz w:val="24"/>
          <w:szCs w:val="24"/>
          <w:lang w:val="en-US" w:eastAsia="zh-CN" w:bidi="ar"/>
          <w:woUserID w:val="1"/>
        </w:rPr>
        <w:t>(采购人)：</w:t>
      </w:r>
      <w:bookmarkEnd w:id="7"/>
    </w:p>
    <w:p w14:paraId="2F18A56C">
      <w:pPr>
        <w:outlineLvl w:val="9"/>
        <w:rPr>
          <w:rFonts w:hint="eastAsia"/>
          <w:b w:val="0"/>
          <w:bCs w:val="0"/>
        </w:rPr>
      </w:pPr>
    </w:p>
    <w:p w14:paraId="5F16BEB2">
      <w:pPr>
        <w:spacing w:before="100" w:beforeAutospacing="1" w:after="100" w:afterAutospacing="1" w:line="480" w:lineRule="auto"/>
        <w:jc w:val="left"/>
        <w:outlineLvl w:val="9"/>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bookmarkStart w:id="8" w:name="_Toc3065"/>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bookmarkEnd w:id="8"/>
    </w:p>
    <w:p w14:paraId="6723B5BD">
      <w:pPr>
        <w:spacing w:before="100" w:beforeAutospacing="1" w:after="100" w:afterAutospacing="1" w:line="480" w:lineRule="auto"/>
        <w:jc w:val="center"/>
        <w:outlineLvl w:val="9"/>
        <w:rPr>
          <w:rFonts w:hint="eastAsia" w:ascii="黑体" w:eastAsia="黑体"/>
          <w:sz w:val="36"/>
        </w:rPr>
      </w:pPr>
    </w:p>
    <w:p w14:paraId="0677ABFA">
      <w:pPr>
        <w:spacing w:before="100" w:beforeAutospacing="1" w:after="100" w:afterAutospacing="1" w:line="500" w:lineRule="exact"/>
        <w:jc w:val="center"/>
        <w:outlineLvl w:val="9"/>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spacing w:before="100" w:beforeAutospacing="1" w:after="100" w:afterAutospacing="1" w:line="500" w:lineRule="exact"/>
        <w:jc w:val="center"/>
        <w:outlineLvl w:val="9"/>
        <w:rPr>
          <w:rFonts w:hint="eastAsia" w:ascii="黑体" w:eastAsia="黑体"/>
          <w:sz w:val="36"/>
        </w:rPr>
      </w:pPr>
    </w:p>
    <w:p w14:paraId="1EC4016C">
      <w:pPr>
        <w:pStyle w:val="2"/>
        <w:spacing w:before="100" w:beforeAutospacing="1" w:after="100" w:afterAutospacing="1" w:line="500" w:lineRule="exact"/>
        <w:jc w:val="center"/>
        <w:outlineLvl w:val="9"/>
        <w:rPr>
          <w:rFonts w:hint="eastAsia" w:ascii="黑体" w:eastAsia="黑体"/>
          <w:sz w:val="36"/>
        </w:rPr>
      </w:pPr>
    </w:p>
    <w:p w14:paraId="13B57FD7">
      <w:pPr>
        <w:rPr>
          <w:rFonts w:hint="eastAsia" w:ascii="黑体" w:eastAsia="黑体"/>
          <w:sz w:val="36"/>
        </w:rPr>
      </w:pPr>
    </w:p>
    <w:p w14:paraId="578512C2">
      <w:pPr>
        <w:pStyle w:val="4"/>
        <w:rPr>
          <w:rFonts w:hint="eastAsia" w:ascii="黑体" w:eastAsia="黑体"/>
          <w:sz w:val="36"/>
        </w:rPr>
      </w:pPr>
    </w:p>
    <w:p w14:paraId="278FA5C7">
      <w:pPr>
        <w:rPr>
          <w:rFonts w:hint="eastAsia"/>
        </w:rPr>
      </w:pPr>
    </w:p>
    <w:p w14:paraId="7D3D3DB3">
      <w:pPr>
        <w:rPr>
          <w:rFonts w:hint="eastAsia"/>
        </w:rPr>
      </w:pPr>
    </w:p>
    <w:p w14:paraId="6A50B92F">
      <w:pPr>
        <w:pStyle w:val="2"/>
        <w:spacing w:before="100" w:beforeAutospacing="1" w:after="100" w:afterAutospacing="1" w:line="500" w:lineRule="exact"/>
        <w:jc w:val="left"/>
        <w:rPr>
          <w:rFonts w:hint="eastAsia" w:ascii="黑体" w:eastAsia="黑体"/>
          <w:sz w:val="36"/>
          <w:lang w:eastAsia="zh-CN"/>
        </w:rPr>
      </w:pPr>
      <w:bookmarkStart w:id="9" w:name="_Toc8998"/>
      <w:r>
        <w:rPr>
          <w:rFonts w:hint="eastAsia" w:ascii="黑体" w:eastAsia="黑体"/>
          <w:sz w:val="36"/>
          <w:lang w:eastAsia="zh-CN"/>
        </w:rPr>
        <w:t>五、供应商3年</w:t>
      </w:r>
      <w:r>
        <w:rPr>
          <w:rFonts w:hint="eastAsia" w:ascii="黑体" w:eastAsia="黑体"/>
          <w:sz w:val="36"/>
          <w:lang w:val="en-US" w:eastAsia="zh-CN"/>
        </w:rPr>
        <w:t>内（从投标截止日期向前推算3年）</w:t>
      </w:r>
      <w:r>
        <w:rPr>
          <w:rFonts w:hint="eastAsia" w:ascii="黑体" w:eastAsia="黑体"/>
          <w:sz w:val="36"/>
          <w:lang w:eastAsia="zh-CN"/>
        </w:rPr>
        <w:t>无重大违法记录的书面声明</w:t>
      </w:r>
      <w:bookmarkEnd w:id="9"/>
    </w:p>
    <w:p w14:paraId="44A89D2D">
      <w:pPr>
        <w:pStyle w:val="2"/>
        <w:spacing w:before="100" w:beforeAutospacing="1" w:after="100" w:afterAutospacing="1" w:line="500" w:lineRule="exact"/>
        <w:jc w:val="center"/>
        <w:outlineLvl w:val="9"/>
        <w:rPr>
          <w:rFonts w:hint="eastAsia" w:ascii="黑体" w:eastAsia="黑体"/>
          <w:sz w:val="36"/>
        </w:rPr>
      </w:pPr>
    </w:p>
    <w:p w14:paraId="56149815">
      <w:pPr>
        <w:pStyle w:val="2"/>
        <w:spacing w:before="100" w:beforeAutospacing="1" w:after="100" w:afterAutospacing="1" w:line="500" w:lineRule="exact"/>
        <w:jc w:val="center"/>
        <w:outlineLvl w:val="9"/>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2"/>
        <w:spacing w:before="100" w:beforeAutospacing="1" w:after="100" w:afterAutospacing="1" w:line="500" w:lineRule="exact"/>
        <w:jc w:val="center"/>
        <w:outlineLvl w:val="9"/>
        <w:rPr>
          <w:rFonts w:hint="eastAsia" w:ascii="黑体" w:eastAsia="黑体"/>
          <w:sz w:val="36"/>
        </w:rPr>
      </w:pPr>
    </w:p>
    <w:p w14:paraId="3BDDA933">
      <w:pPr>
        <w:rPr>
          <w:rFonts w:hint="eastAsia" w:ascii="黑体" w:eastAsia="黑体"/>
          <w:sz w:val="36"/>
        </w:rPr>
      </w:pPr>
    </w:p>
    <w:p w14:paraId="104CE1B7">
      <w:pPr>
        <w:pStyle w:val="4"/>
        <w:rPr>
          <w:rFonts w:hint="eastAsia" w:ascii="黑体" w:eastAsia="黑体"/>
          <w:sz w:val="36"/>
        </w:rPr>
      </w:pPr>
    </w:p>
    <w:p w14:paraId="6F85491F">
      <w:pPr>
        <w:rPr>
          <w:rFonts w:hint="eastAsia" w:ascii="黑体" w:eastAsia="黑体"/>
          <w:sz w:val="36"/>
        </w:rPr>
      </w:pPr>
    </w:p>
    <w:p w14:paraId="0C5DB3FB">
      <w:pPr>
        <w:pStyle w:val="4"/>
        <w:rPr>
          <w:rFonts w:hint="eastAsia" w:ascii="黑体" w:eastAsia="黑体"/>
          <w:sz w:val="36"/>
        </w:rPr>
      </w:pPr>
    </w:p>
    <w:p w14:paraId="75866094">
      <w:pPr>
        <w:rPr>
          <w:rFonts w:hint="eastAsia" w:ascii="黑体" w:eastAsia="黑体"/>
          <w:sz w:val="36"/>
        </w:rPr>
      </w:pPr>
    </w:p>
    <w:p w14:paraId="4A7556B2">
      <w:pPr>
        <w:pStyle w:val="4"/>
        <w:rPr>
          <w:rFonts w:hint="eastAsia" w:ascii="黑体" w:eastAsia="黑体"/>
          <w:sz w:val="36"/>
        </w:rPr>
      </w:pPr>
    </w:p>
    <w:p w14:paraId="6DE4CA06">
      <w:pPr>
        <w:rPr>
          <w:rFonts w:hint="eastAsia"/>
        </w:rPr>
      </w:pPr>
    </w:p>
    <w:p w14:paraId="18AAD801">
      <w:pPr>
        <w:pStyle w:val="2"/>
        <w:numPr>
          <w:ilvl w:val="0"/>
          <w:numId w:val="1"/>
        </w:numPr>
        <w:spacing w:before="100" w:beforeAutospacing="1" w:after="100" w:afterAutospacing="1" w:line="500" w:lineRule="exact"/>
        <w:jc w:val="left"/>
        <w:rPr>
          <w:rFonts w:hint="eastAsia" w:ascii="黑体" w:eastAsia="黑体"/>
          <w:sz w:val="36"/>
          <w:lang w:eastAsia="zh-CN"/>
        </w:rPr>
      </w:pPr>
      <w:bookmarkStart w:id="10" w:name="_Toc1568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w:t>
      </w:r>
      <w:r>
        <w:rPr>
          <w:rFonts w:hint="eastAsia" w:ascii="黑体" w:eastAsia="黑体"/>
          <w:sz w:val="36"/>
          <w:lang w:val="en-US" w:eastAsia="zh-CN"/>
        </w:rPr>
        <w:t>（不含投标当月）</w:t>
      </w:r>
      <w:r>
        <w:rPr>
          <w:rFonts w:hint="eastAsia" w:ascii="黑体" w:eastAsia="黑体"/>
          <w:sz w:val="36"/>
          <w:lang w:eastAsia="zh-CN"/>
        </w:rPr>
        <w:t>的财务状况报告复印件（至少包括资产负债表和利润表）或上一年度财务状况报告复印件</w:t>
      </w:r>
      <w:bookmarkEnd w:id="10"/>
    </w:p>
    <w:p w14:paraId="2FC1DACB">
      <w:pPr>
        <w:numPr>
          <w:ilvl w:val="0"/>
          <w:numId w:val="0"/>
        </w:numPr>
        <w:rPr>
          <w:rFonts w:hint="eastAsia"/>
          <w:lang w:eastAsia="zh-CN"/>
        </w:rPr>
      </w:pPr>
    </w:p>
    <w:p w14:paraId="62BFEA83">
      <w:pPr>
        <w:pStyle w:val="4"/>
        <w:rPr>
          <w:rFonts w:hint="eastAsia"/>
          <w:lang w:eastAsia="zh-CN"/>
        </w:rPr>
      </w:pPr>
    </w:p>
    <w:p w14:paraId="5FBF8FF7">
      <w:pPr>
        <w:rPr>
          <w:rFonts w:hint="eastAsia"/>
          <w:lang w:eastAsia="zh-CN"/>
        </w:rPr>
      </w:pPr>
    </w:p>
    <w:p w14:paraId="0A7BEE55">
      <w:pPr>
        <w:pStyle w:val="4"/>
        <w:rPr>
          <w:rFonts w:hint="eastAsia"/>
          <w:lang w:eastAsia="zh-CN"/>
        </w:rPr>
      </w:pPr>
    </w:p>
    <w:p w14:paraId="42E54A6E">
      <w:pPr>
        <w:rPr>
          <w:rFonts w:hint="eastAsia"/>
          <w:lang w:eastAsia="zh-CN"/>
        </w:rPr>
      </w:pPr>
    </w:p>
    <w:p w14:paraId="1F3CF76A">
      <w:pPr>
        <w:pStyle w:val="4"/>
        <w:rPr>
          <w:rFonts w:hint="eastAsia"/>
          <w:lang w:eastAsia="zh-CN"/>
        </w:rPr>
      </w:pPr>
    </w:p>
    <w:p w14:paraId="37E7EDB3">
      <w:pPr>
        <w:rPr>
          <w:rFonts w:hint="eastAsia"/>
          <w:lang w:eastAsia="zh-CN"/>
        </w:rPr>
      </w:pPr>
    </w:p>
    <w:p w14:paraId="0AF410A3">
      <w:pPr>
        <w:pStyle w:val="4"/>
        <w:rPr>
          <w:rFonts w:hint="eastAsia"/>
          <w:lang w:eastAsia="zh-CN"/>
        </w:rPr>
      </w:pPr>
    </w:p>
    <w:p w14:paraId="25E184E8">
      <w:pPr>
        <w:rPr>
          <w:rFonts w:hint="eastAsia"/>
          <w:lang w:eastAsia="zh-CN"/>
        </w:rPr>
      </w:pPr>
    </w:p>
    <w:p w14:paraId="157C6651">
      <w:pPr>
        <w:pStyle w:val="4"/>
        <w:rPr>
          <w:rFonts w:hint="eastAsia"/>
          <w:lang w:eastAsia="zh-CN"/>
        </w:rPr>
      </w:pPr>
    </w:p>
    <w:p w14:paraId="1D67AB8C">
      <w:pPr>
        <w:rPr>
          <w:rFonts w:hint="eastAsia"/>
          <w:lang w:eastAsia="zh-CN"/>
        </w:rPr>
      </w:pPr>
    </w:p>
    <w:p w14:paraId="5207C658">
      <w:pPr>
        <w:pStyle w:val="4"/>
        <w:rPr>
          <w:rFonts w:hint="eastAsia"/>
          <w:lang w:eastAsia="zh-CN"/>
        </w:rPr>
      </w:pPr>
    </w:p>
    <w:p w14:paraId="596C06BD">
      <w:pPr>
        <w:rPr>
          <w:rFonts w:hint="eastAsia"/>
          <w:lang w:eastAsia="zh-CN"/>
        </w:rPr>
      </w:pPr>
    </w:p>
    <w:p w14:paraId="702BB87A">
      <w:pPr>
        <w:pStyle w:val="4"/>
        <w:rPr>
          <w:rFonts w:hint="eastAsia"/>
          <w:lang w:eastAsia="zh-CN"/>
        </w:rPr>
      </w:pPr>
    </w:p>
    <w:p w14:paraId="4616EA63">
      <w:pPr>
        <w:rPr>
          <w:rFonts w:hint="eastAsia"/>
          <w:lang w:eastAsia="zh-CN"/>
        </w:rPr>
      </w:pPr>
    </w:p>
    <w:p w14:paraId="45A16A07">
      <w:pPr>
        <w:pStyle w:val="4"/>
        <w:rPr>
          <w:rFonts w:hint="eastAsia"/>
          <w:lang w:eastAsia="zh-CN"/>
        </w:rPr>
      </w:pPr>
    </w:p>
    <w:p w14:paraId="74308C54">
      <w:pPr>
        <w:rPr>
          <w:rFonts w:hint="eastAsia"/>
          <w:lang w:eastAsia="zh-CN"/>
        </w:rPr>
      </w:pPr>
    </w:p>
    <w:p w14:paraId="070331DE">
      <w:pPr>
        <w:pStyle w:val="4"/>
        <w:rPr>
          <w:rFonts w:hint="eastAsia"/>
          <w:lang w:eastAsia="zh-CN"/>
        </w:rPr>
      </w:pPr>
    </w:p>
    <w:p w14:paraId="0D573513">
      <w:pPr>
        <w:rPr>
          <w:rFonts w:hint="eastAsia"/>
          <w:lang w:eastAsia="zh-CN"/>
        </w:rPr>
      </w:pPr>
    </w:p>
    <w:p w14:paraId="40C68E9D">
      <w:pPr>
        <w:pStyle w:val="4"/>
        <w:rPr>
          <w:rFonts w:hint="eastAsia"/>
          <w:lang w:eastAsia="zh-CN"/>
        </w:rPr>
      </w:pPr>
    </w:p>
    <w:p w14:paraId="326C23DB">
      <w:pPr>
        <w:rPr>
          <w:rFonts w:hint="eastAsia"/>
          <w:lang w:eastAsia="zh-CN"/>
        </w:rPr>
      </w:pPr>
    </w:p>
    <w:p w14:paraId="17458B95">
      <w:pPr>
        <w:pStyle w:val="4"/>
        <w:rPr>
          <w:rFonts w:hint="eastAsia"/>
          <w:lang w:eastAsia="zh-CN"/>
        </w:rPr>
      </w:pPr>
    </w:p>
    <w:p w14:paraId="3B597237">
      <w:pPr>
        <w:rPr>
          <w:rFonts w:hint="eastAsia"/>
          <w:lang w:eastAsia="zh-CN"/>
        </w:rPr>
      </w:pPr>
    </w:p>
    <w:p w14:paraId="4853A775">
      <w:pPr>
        <w:pStyle w:val="2"/>
        <w:numPr>
          <w:ilvl w:val="0"/>
          <w:numId w:val="1"/>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1" w:name="_Toc1109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w:t>
      </w:r>
      <w:r>
        <w:rPr>
          <w:rFonts w:hint="eastAsia" w:ascii="黑体" w:eastAsia="黑体"/>
          <w:sz w:val="36"/>
          <w:lang w:val="en-US" w:eastAsia="zh-CN"/>
        </w:rPr>
        <w:t>（不含投标当月）</w:t>
      </w:r>
      <w:r>
        <w:rPr>
          <w:rFonts w:hint="eastAsia" w:ascii="黑体" w:eastAsia="黑体"/>
          <w:sz w:val="36"/>
          <w:lang w:eastAsia="zh-CN"/>
        </w:rPr>
        <w:t>的依法纳税相关材料复印件（如依法享受缓缴、免缴的需提供相关政策文件）</w:t>
      </w:r>
      <w:bookmarkEnd w:id="11"/>
    </w:p>
    <w:p w14:paraId="58E1647D">
      <w:pPr>
        <w:numPr>
          <w:ilvl w:val="0"/>
          <w:numId w:val="0"/>
        </w:numPr>
        <w:ind w:leftChars="0"/>
        <w:rPr>
          <w:rFonts w:hint="eastAsia"/>
          <w:lang w:eastAsia="zh-CN"/>
        </w:rPr>
      </w:pPr>
    </w:p>
    <w:p w14:paraId="25A0733D">
      <w:pPr>
        <w:pStyle w:val="4"/>
        <w:rPr>
          <w:rFonts w:hint="eastAsia"/>
          <w:lang w:eastAsia="zh-CN"/>
        </w:rPr>
      </w:pPr>
    </w:p>
    <w:p w14:paraId="72197DAF">
      <w:pPr>
        <w:rPr>
          <w:rFonts w:hint="eastAsia"/>
          <w:lang w:eastAsia="zh-CN"/>
        </w:rPr>
      </w:pPr>
    </w:p>
    <w:p w14:paraId="2815AAD6">
      <w:pPr>
        <w:pStyle w:val="4"/>
        <w:rPr>
          <w:rFonts w:hint="eastAsia"/>
          <w:lang w:eastAsia="zh-CN"/>
        </w:rPr>
      </w:pPr>
    </w:p>
    <w:p w14:paraId="483A0167">
      <w:pPr>
        <w:rPr>
          <w:rFonts w:hint="eastAsia"/>
          <w:lang w:eastAsia="zh-CN"/>
        </w:rPr>
      </w:pPr>
    </w:p>
    <w:p w14:paraId="3D50521B">
      <w:pPr>
        <w:pStyle w:val="4"/>
        <w:rPr>
          <w:rFonts w:hint="eastAsia"/>
          <w:lang w:eastAsia="zh-CN"/>
        </w:rPr>
      </w:pPr>
    </w:p>
    <w:p w14:paraId="76109F17">
      <w:pPr>
        <w:rPr>
          <w:rFonts w:hint="eastAsia"/>
          <w:lang w:eastAsia="zh-CN"/>
        </w:rPr>
      </w:pPr>
    </w:p>
    <w:p w14:paraId="30B84204">
      <w:pPr>
        <w:pStyle w:val="4"/>
        <w:rPr>
          <w:rFonts w:hint="eastAsia"/>
          <w:lang w:eastAsia="zh-CN"/>
        </w:rPr>
      </w:pPr>
    </w:p>
    <w:p w14:paraId="14C62F78">
      <w:pPr>
        <w:rPr>
          <w:rFonts w:hint="eastAsia"/>
          <w:lang w:eastAsia="zh-CN"/>
        </w:rPr>
      </w:pPr>
    </w:p>
    <w:p w14:paraId="46269D9B">
      <w:pPr>
        <w:pStyle w:val="4"/>
        <w:rPr>
          <w:rFonts w:hint="eastAsia"/>
          <w:lang w:eastAsia="zh-CN"/>
        </w:rPr>
      </w:pPr>
    </w:p>
    <w:p w14:paraId="2F1AC395">
      <w:pPr>
        <w:rPr>
          <w:rFonts w:hint="eastAsia"/>
          <w:lang w:eastAsia="zh-CN"/>
        </w:rPr>
      </w:pPr>
    </w:p>
    <w:p w14:paraId="73411771">
      <w:pPr>
        <w:pStyle w:val="4"/>
        <w:rPr>
          <w:rFonts w:hint="eastAsia"/>
          <w:lang w:eastAsia="zh-CN"/>
        </w:rPr>
      </w:pPr>
    </w:p>
    <w:p w14:paraId="5D65BCEF">
      <w:pPr>
        <w:rPr>
          <w:rFonts w:hint="eastAsia"/>
          <w:lang w:eastAsia="zh-CN"/>
        </w:rPr>
      </w:pPr>
    </w:p>
    <w:p w14:paraId="5FA19AB0">
      <w:pPr>
        <w:pStyle w:val="4"/>
        <w:rPr>
          <w:rFonts w:hint="eastAsia"/>
          <w:lang w:eastAsia="zh-CN"/>
        </w:rPr>
      </w:pPr>
    </w:p>
    <w:p w14:paraId="36A25549">
      <w:pPr>
        <w:rPr>
          <w:rFonts w:hint="eastAsia"/>
          <w:lang w:eastAsia="zh-CN"/>
        </w:rPr>
      </w:pPr>
    </w:p>
    <w:p w14:paraId="4F62643D">
      <w:pPr>
        <w:pStyle w:val="4"/>
        <w:rPr>
          <w:rFonts w:hint="eastAsia"/>
          <w:lang w:eastAsia="zh-CN"/>
        </w:rPr>
      </w:pPr>
    </w:p>
    <w:p w14:paraId="5F5AAE66">
      <w:pPr>
        <w:rPr>
          <w:rFonts w:hint="eastAsia"/>
          <w:lang w:eastAsia="zh-CN"/>
        </w:rPr>
      </w:pPr>
    </w:p>
    <w:p w14:paraId="49FAE781">
      <w:pPr>
        <w:pStyle w:val="4"/>
        <w:rPr>
          <w:rFonts w:hint="eastAsia"/>
          <w:lang w:eastAsia="zh-CN"/>
        </w:rPr>
      </w:pPr>
    </w:p>
    <w:p w14:paraId="2DC8D640">
      <w:pPr>
        <w:rPr>
          <w:rFonts w:hint="eastAsia"/>
          <w:lang w:eastAsia="zh-CN"/>
        </w:rPr>
      </w:pPr>
    </w:p>
    <w:p w14:paraId="7D30F27C">
      <w:pPr>
        <w:pStyle w:val="4"/>
        <w:rPr>
          <w:rFonts w:hint="eastAsia"/>
          <w:lang w:eastAsia="zh-CN"/>
        </w:rPr>
      </w:pPr>
    </w:p>
    <w:p w14:paraId="564A3CDA">
      <w:pPr>
        <w:rPr>
          <w:rFonts w:hint="eastAsia"/>
          <w:lang w:eastAsia="zh-CN"/>
        </w:rPr>
      </w:pPr>
    </w:p>
    <w:p w14:paraId="7E236054">
      <w:pPr>
        <w:pStyle w:val="4"/>
        <w:rPr>
          <w:rFonts w:hint="eastAsia"/>
          <w:lang w:eastAsia="zh-CN"/>
        </w:rPr>
      </w:pPr>
    </w:p>
    <w:p w14:paraId="6D85E2EC">
      <w:pPr>
        <w:rPr>
          <w:rFonts w:hint="eastAsia"/>
          <w:lang w:eastAsia="zh-CN"/>
        </w:rPr>
      </w:pPr>
    </w:p>
    <w:p w14:paraId="745EBE1C">
      <w:pPr>
        <w:pStyle w:val="2"/>
        <w:numPr>
          <w:ilvl w:val="0"/>
          <w:numId w:val="1"/>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2" w:name="_Toc30051"/>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个月中任意一个月（不含投标当月）的依法缴纳社会保障资金的相关材料（提供相关主管部门证明或银行代扣证明）</w:t>
      </w:r>
      <w:bookmarkEnd w:id="12"/>
    </w:p>
    <w:p w14:paraId="354335CB">
      <w:pPr>
        <w:numPr>
          <w:ilvl w:val="0"/>
          <w:numId w:val="0"/>
        </w:numPr>
        <w:ind w:leftChars="0"/>
        <w:rPr>
          <w:rFonts w:hint="eastAsia"/>
          <w:lang w:eastAsia="zh-CN"/>
        </w:rPr>
      </w:pPr>
    </w:p>
    <w:p w14:paraId="732800CC">
      <w:pPr>
        <w:pStyle w:val="4"/>
        <w:rPr>
          <w:rFonts w:hint="eastAsia"/>
          <w:lang w:eastAsia="zh-CN"/>
        </w:rPr>
      </w:pPr>
    </w:p>
    <w:p w14:paraId="4E4E7D4C">
      <w:pPr>
        <w:rPr>
          <w:rFonts w:hint="eastAsia"/>
          <w:lang w:eastAsia="zh-CN"/>
        </w:rPr>
      </w:pPr>
    </w:p>
    <w:p w14:paraId="281AB533">
      <w:pPr>
        <w:pStyle w:val="4"/>
        <w:rPr>
          <w:rFonts w:hint="eastAsia"/>
          <w:lang w:eastAsia="zh-CN"/>
        </w:rPr>
      </w:pPr>
    </w:p>
    <w:p w14:paraId="56613500">
      <w:pPr>
        <w:rPr>
          <w:rFonts w:hint="eastAsia"/>
          <w:lang w:eastAsia="zh-CN"/>
        </w:rPr>
      </w:pPr>
    </w:p>
    <w:p w14:paraId="3B84835E">
      <w:pPr>
        <w:pStyle w:val="4"/>
        <w:rPr>
          <w:rFonts w:hint="eastAsia"/>
          <w:lang w:eastAsia="zh-CN"/>
        </w:rPr>
      </w:pPr>
    </w:p>
    <w:p w14:paraId="72CA2C33">
      <w:pPr>
        <w:rPr>
          <w:rFonts w:hint="eastAsia"/>
          <w:lang w:eastAsia="zh-CN"/>
        </w:rPr>
      </w:pPr>
    </w:p>
    <w:p w14:paraId="3C3C48A7">
      <w:pPr>
        <w:pStyle w:val="4"/>
        <w:rPr>
          <w:rFonts w:hint="eastAsia"/>
          <w:lang w:eastAsia="zh-CN"/>
        </w:rPr>
      </w:pPr>
    </w:p>
    <w:p w14:paraId="650136AB">
      <w:pPr>
        <w:rPr>
          <w:rFonts w:hint="eastAsia"/>
          <w:lang w:eastAsia="zh-CN"/>
        </w:rPr>
      </w:pPr>
    </w:p>
    <w:p w14:paraId="48C1E7C9">
      <w:pPr>
        <w:pStyle w:val="4"/>
        <w:rPr>
          <w:rFonts w:hint="eastAsia"/>
          <w:lang w:eastAsia="zh-CN"/>
        </w:rPr>
      </w:pPr>
    </w:p>
    <w:p w14:paraId="76E2C5A8">
      <w:pPr>
        <w:rPr>
          <w:rFonts w:hint="eastAsia"/>
          <w:lang w:eastAsia="zh-CN"/>
        </w:rPr>
      </w:pPr>
    </w:p>
    <w:p w14:paraId="0D7703F4">
      <w:pPr>
        <w:pStyle w:val="4"/>
        <w:rPr>
          <w:rFonts w:hint="eastAsia"/>
          <w:lang w:eastAsia="zh-CN"/>
        </w:rPr>
      </w:pPr>
    </w:p>
    <w:p w14:paraId="5193EF11">
      <w:pPr>
        <w:rPr>
          <w:rFonts w:hint="eastAsia"/>
          <w:lang w:eastAsia="zh-CN"/>
        </w:rPr>
      </w:pPr>
    </w:p>
    <w:p w14:paraId="348E0FD6">
      <w:pPr>
        <w:pStyle w:val="4"/>
        <w:rPr>
          <w:rFonts w:hint="eastAsia"/>
          <w:lang w:eastAsia="zh-CN"/>
        </w:rPr>
      </w:pPr>
    </w:p>
    <w:p w14:paraId="5FDBEB14">
      <w:pPr>
        <w:rPr>
          <w:rFonts w:hint="eastAsia"/>
          <w:lang w:eastAsia="zh-CN"/>
        </w:rPr>
      </w:pPr>
    </w:p>
    <w:p w14:paraId="413648A5">
      <w:pPr>
        <w:pStyle w:val="4"/>
        <w:rPr>
          <w:rFonts w:hint="eastAsia"/>
          <w:lang w:eastAsia="zh-CN"/>
        </w:rPr>
      </w:pPr>
    </w:p>
    <w:p w14:paraId="0D7E3F22">
      <w:pPr>
        <w:rPr>
          <w:rFonts w:hint="eastAsia"/>
          <w:lang w:eastAsia="zh-CN"/>
        </w:rPr>
      </w:pPr>
    </w:p>
    <w:p w14:paraId="425999AB">
      <w:pPr>
        <w:pStyle w:val="4"/>
        <w:rPr>
          <w:rFonts w:hint="eastAsia"/>
          <w:lang w:eastAsia="zh-CN"/>
        </w:rPr>
      </w:pPr>
    </w:p>
    <w:p w14:paraId="3AD87FE0">
      <w:pPr>
        <w:rPr>
          <w:rFonts w:hint="eastAsia"/>
          <w:lang w:eastAsia="zh-CN"/>
        </w:rPr>
      </w:pPr>
    </w:p>
    <w:p w14:paraId="45F90B71">
      <w:pPr>
        <w:pStyle w:val="4"/>
        <w:rPr>
          <w:rFonts w:hint="eastAsia"/>
          <w:lang w:eastAsia="zh-CN"/>
        </w:rPr>
      </w:pPr>
    </w:p>
    <w:p w14:paraId="6E032F59">
      <w:pPr>
        <w:rPr>
          <w:rFonts w:hint="eastAsia"/>
          <w:lang w:eastAsia="zh-CN"/>
        </w:rPr>
      </w:pPr>
    </w:p>
    <w:p w14:paraId="7FDE0B9D">
      <w:pPr>
        <w:pStyle w:val="4"/>
        <w:rPr>
          <w:rFonts w:hint="eastAsia"/>
          <w:lang w:eastAsia="zh-CN"/>
        </w:rPr>
      </w:pPr>
    </w:p>
    <w:p w14:paraId="351E8C86">
      <w:pPr>
        <w:rPr>
          <w:rFonts w:hint="eastAsia"/>
          <w:lang w:eastAsia="zh-CN"/>
        </w:rPr>
      </w:pPr>
    </w:p>
    <w:p w14:paraId="41F1A69A">
      <w:pPr>
        <w:pStyle w:val="2"/>
        <w:spacing w:before="100" w:beforeAutospacing="1" w:after="100" w:afterAutospacing="1" w:line="500" w:lineRule="exact"/>
        <w:jc w:val="center"/>
        <w:rPr>
          <w:rFonts w:ascii="黑体" w:eastAsia="黑体"/>
          <w:sz w:val="36"/>
          <w:lang w:eastAsia="zh-CN"/>
        </w:rPr>
      </w:pPr>
      <w:bookmarkStart w:id="13" w:name="_Toc15894"/>
      <w:r>
        <w:rPr>
          <w:rFonts w:hint="eastAsia" w:ascii="黑体" w:eastAsia="黑体"/>
          <w:sz w:val="36"/>
          <w:lang w:eastAsia="zh-CN"/>
        </w:rPr>
        <w:t>九、未被“信用中国”网站（www.creditchina.gov.cn）列入失信被执行人、重大税收违法案件当事人名单、政府采购严重失信行为记录名单。（请提供网页截图）</w:t>
      </w:r>
      <w:bookmarkEnd w:id="13"/>
    </w:p>
    <w:p w14:paraId="3A3F668D">
      <w:pPr>
        <w:pStyle w:val="2"/>
        <w:spacing w:before="100" w:beforeAutospacing="1" w:after="100" w:afterAutospacing="1" w:line="500" w:lineRule="exact"/>
        <w:jc w:val="center"/>
        <w:outlineLvl w:val="9"/>
        <w:rPr>
          <w:rFonts w:ascii="黑体" w:eastAsia="黑体"/>
          <w:sz w:val="36"/>
          <w:lang w:eastAsia="zh-CN"/>
        </w:rPr>
      </w:pPr>
      <w:r>
        <w:rPr>
          <w:rFonts w:ascii="黑体" w:eastAsia="黑体"/>
          <w:sz w:val="36"/>
          <w:lang w:eastAsia="zh-CN"/>
        </w:rPr>
        <w:br w:type="page"/>
      </w:r>
    </w:p>
    <w:p w14:paraId="5445E1EE">
      <w:pPr>
        <w:pStyle w:val="2"/>
        <w:spacing w:before="100" w:beforeAutospacing="1" w:after="100" w:afterAutospacing="1" w:line="500" w:lineRule="exact"/>
        <w:jc w:val="center"/>
        <w:rPr>
          <w:rFonts w:ascii="Arial" w:hAnsi="Arial" w:cs="Arial"/>
          <w:b w:val="0"/>
          <w:bCs w:val="0"/>
          <w:szCs w:val="24"/>
        </w:rPr>
      </w:pPr>
      <w:bookmarkStart w:id="14" w:name="_Toc1098"/>
      <w:r>
        <w:rPr>
          <w:rFonts w:hint="eastAsia" w:ascii="黑体" w:eastAsia="黑体"/>
          <w:sz w:val="36"/>
          <w:lang w:eastAsia="zh-CN"/>
        </w:rPr>
        <w:t>十、</w:t>
      </w:r>
      <w:bookmarkStart w:id="15" w:name="_Toc7716"/>
      <w:r>
        <w:rPr>
          <w:rFonts w:ascii="黑体" w:eastAsia="黑体"/>
          <w:sz w:val="36"/>
        </w:rPr>
        <w:t>企业声明函格式</w:t>
      </w:r>
      <w:bookmarkEnd w:id="14"/>
      <w:bookmarkEnd w:id="15"/>
    </w:p>
    <w:p w14:paraId="5E90EA75">
      <w:pPr>
        <w:spacing w:line="360" w:lineRule="auto"/>
        <w:jc w:val="center"/>
        <w:outlineLvl w:val="9"/>
        <w:rPr>
          <w:rFonts w:ascii="Arial" w:hAnsi="Arial" w:cs="Arial"/>
          <w:b/>
          <w:bCs/>
          <w:sz w:val="28"/>
          <w:szCs w:val="24"/>
        </w:rPr>
      </w:pPr>
      <w:r>
        <w:rPr>
          <w:rFonts w:ascii="Arial" w:hAnsi="Arial" w:cs="Arial"/>
          <w:b/>
          <w:bCs/>
          <w:sz w:val="28"/>
          <w:szCs w:val="24"/>
        </w:rPr>
        <w:t>中小企业声明函</w:t>
      </w:r>
    </w:p>
    <w:p w14:paraId="0E59AE2B">
      <w:pPr>
        <w:pStyle w:val="19"/>
        <w:spacing w:line="498" w:lineRule="exact"/>
        <w:ind w:firstLine="640"/>
        <w:jc w:val="both"/>
        <w:outlineLvl w:val="9"/>
        <w:rPr>
          <w:rFonts w:hint="eastAsia"/>
          <w:sz w:val="21"/>
          <w:szCs w:val="21"/>
          <w:lang w:eastAsia="zh-CN"/>
        </w:rPr>
      </w:pPr>
      <w:bookmarkStart w:id="16" w:name="OLE_LINK13"/>
      <w:bookmarkStart w:id="17"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18" w:name="bookmark24"/>
      <w:bookmarkEnd w:id="18"/>
    </w:p>
    <w:p w14:paraId="44819DC6">
      <w:pPr>
        <w:pStyle w:val="19"/>
        <w:spacing w:line="498" w:lineRule="exact"/>
        <w:ind w:firstLine="640"/>
        <w:jc w:val="both"/>
        <w:outlineLvl w:val="9"/>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5"/>
          <w:color w:val="000000"/>
        </w:rPr>
        <w:end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19" w:name="bookmark25"/>
      <w:bookmarkEnd w:id="19"/>
    </w:p>
    <w:p w14:paraId="5B7204B8">
      <w:pPr>
        <w:pStyle w:val="19"/>
        <w:spacing w:line="498" w:lineRule="exact"/>
        <w:ind w:firstLine="640"/>
        <w:jc w:val="both"/>
        <w:outlineLvl w:val="9"/>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9"/>
        <w:tabs>
          <w:tab w:val="left" w:pos="1170"/>
          <w:tab w:val="left" w:pos="1505"/>
          <w:tab w:val="left" w:pos="6610"/>
        </w:tabs>
        <w:spacing w:line="494" w:lineRule="exact"/>
        <w:ind w:left="640" w:firstLine="0"/>
        <w:jc w:val="both"/>
        <w:outlineLvl w:val="9"/>
        <w:rPr>
          <w:rFonts w:hint="eastAsia"/>
          <w:sz w:val="21"/>
          <w:szCs w:val="21"/>
          <w:lang w:eastAsia="zh-CN"/>
        </w:rPr>
      </w:pPr>
      <w:r>
        <w:rPr>
          <w:iCs/>
          <w:sz w:val="21"/>
          <w:szCs w:val="21"/>
          <w:lang w:eastAsia="zh-CN"/>
        </w:rPr>
        <w:t>……</w:t>
      </w:r>
    </w:p>
    <w:p w14:paraId="4FCFE896">
      <w:pPr>
        <w:pStyle w:val="19"/>
        <w:tabs>
          <w:tab w:val="left" w:pos="2290"/>
          <w:tab w:val="left" w:pos="7618"/>
        </w:tabs>
        <w:spacing w:line="490" w:lineRule="exact"/>
        <w:ind w:firstLine="640"/>
        <w:jc w:val="both"/>
        <w:outlineLvl w:val="9"/>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9"/>
        <w:spacing w:line="490" w:lineRule="exact"/>
        <w:ind w:firstLine="640"/>
        <w:jc w:val="both"/>
        <w:outlineLvl w:val="9"/>
        <w:rPr>
          <w:sz w:val="21"/>
          <w:szCs w:val="21"/>
        </w:rPr>
      </w:pPr>
      <w:r>
        <w:rPr>
          <w:color w:val="000000"/>
          <w:sz w:val="21"/>
          <w:szCs w:val="21"/>
        </w:rPr>
        <w:t>本企业对上述声明内容的真实性负责。如有虚假，将依法承担相应责任。</w:t>
      </w:r>
    </w:p>
    <w:p w14:paraId="44798BDE">
      <w:pPr>
        <w:pStyle w:val="19"/>
        <w:spacing w:line="490" w:lineRule="exact"/>
        <w:ind w:left="3660" w:firstLine="1785" w:firstLineChars="850"/>
        <w:outlineLvl w:val="9"/>
        <w:rPr>
          <w:sz w:val="21"/>
          <w:szCs w:val="21"/>
        </w:rPr>
      </w:pPr>
      <w:r>
        <w:rPr>
          <w:color w:val="000000"/>
          <w:sz w:val="21"/>
          <w:szCs w:val="21"/>
        </w:rPr>
        <w:t>企业名称（盖章）：</w:t>
      </w:r>
    </w:p>
    <w:p w14:paraId="7ED0FD2A">
      <w:pPr>
        <w:pStyle w:val="19"/>
        <w:spacing w:line="490" w:lineRule="exact"/>
        <w:ind w:firstLine="0"/>
        <w:jc w:val="center"/>
        <w:outlineLvl w:val="9"/>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outlineLvl w:val="9"/>
        <w:rPr>
          <w:rFonts w:ascii="Arial" w:hAnsi="Arial" w:cs="Arial"/>
          <w:b/>
          <w:bCs/>
          <w:sz w:val="28"/>
          <w:szCs w:val="24"/>
          <w:lang w:eastAsia="zh-TW"/>
        </w:rPr>
      </w:pPr>
    </w:p>
    <w:p w14:paraId="6ABD1F0B">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FF0000"/>
          <w:sz w:val="21"/>
          <w:szCs w:val="21"/>
          <w:lang w:val="en-US" w:eastAsia="zh-CN"/>
        </w:rPr>
        <w:t>2.</w:t>
      </w:r>
      <w:r>
        <w:rPr>
          <w:rFonts w:hint="eastAsia"/>
          <w:color w:val="FF0000"/>
          <w:sz w:val="21"/>
          <w:szCs w:val="21"/>
        </w:rPr>
        <w:t>本项目所属行业:</w:t>
      </w:r>
      <w:r>
        <w:rPr>
          <w:rFonts w:hint="eastAsia"/>
          <w:b/>
          <w:bCs/>
          <w:color w:val="FF0000"/>
          <w:sz w:val="21"/>
          <w:szCs w:val="21"/>
          <w:u w:val="single"/>
          <w:lang w:val="en-US" w:eastAsia="zh-CN"/>
        </w:rPr>
        <w:t xml:space="preserve">             </w:t>
      </w:r>
      <w:r>
        <w:rPr>
          <w:rFonts w:hint="eastAsia"/>
          <w:b/>
          <w:bCs/>
          <w:color w:val="FF0000"/>
          <w:sz w:val="21"/>
          <w:szCs w:val="21"/>
          <w:u w:val="none"/>
          <w:lang w:val="en-US" w:eastAsia="zh-CN"/>
        </w:rPr>
        <w:t xml:space="preserve"> </w:t>
      </w:r>
      <w:r>
        <w:rPr>
          <w:rFonts w:hint="eastAsia"/>
          <w:color w:val="000000"/>
          <w:sz w:val="21"/>
          <w:szCs w:val="21"/>
        </w:rPr>
        <w:t>。</w:t>
      </w:r>
    </w:p>
    <w:p w14:paraId="0C9345D7">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outlineLvl w:val="9"/>
        <w:rPr>
          <w:rFonts w:ascii="Arial" w:hAnsi="Arial" w:cs="Arial"/>
          <w:b/>
          <w:bCs/>
          <w:sz w:val="28"/>
          <w:szCs w:val="24"/>
        </w:rPr>
      </w:pPr>
      <w:r>
        <w:rPr>
          <w:rFonts w:ascii="Arial" w:hAnsi="Arial" w:cs="Arial"/>
          <w:b/>
          <w:bCs/>
          <w:sz w:val="28"/>
          <w:szCs w:val="24"/>
        </w:rPr>
        <w:br w:type="page"/>
      </w:r>
      <w:bookmarkStart w:id="20" w:name="_Toc9634"/>
      <w:bookmarkStart w:id="21" w:name="_Toc21978"/>
      <w:bookmarkStart w:id="22" w:name="_Toc31172"/>
      <w:r>
        <w:rPr>
          <w:rFonts w:ascii="Arial" w:hAnsi="Arial" w:cs="Arial"/>
          <w:b/>
          <w:bCs/>
          <w:sz w:val="28"/>
          <w:szCs w:val="24"/>
        </w:rPr>
        <w:t>残疾人福利性单位声明函</w:t>
      </w:r>
      <w:bookmarkEnd w:id="20"/>
      <w:bookmarkEnd w:id="21"/>
      <w:bookmarkEnd w:id="22"/>
    </w:p>
    <w:bookmarkEnd w:id="16"/>
    <w:bookmarkEnd w:id="17"/>
    <w:p w14:paraId="39F1C819">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日期：</w:t>
      </w:r>
    </w:p>
    <w:p w14:paraId="1B2D35F8">
      <w:pPr>
        <w:spacing w:line="360" w:lineRule="auto"/>
        <w:outlineLvl w:val="9"/>
        <w:rPr>
          <w:rFonts w:ascii="Arial" w:hAnsi="Arial" w:cs="Arial"/>
          <w:b/>
          <w:bCs/>
          <w:szCs w:val="24"/>
        </w:rPr>
      </w:pPr>
    </w:p>
    <w:p w14:paraId="5E994A75">
      <w:pPr>
        <w:spacing w:line="360" w:lineRule="auto"/>
        <w:outlineLvl w:val="9"/>
        <w:rPr>
          <w:rFonts w:ascii="Arial" w:hAnsi="Arial" w:cs="Arial"/>
          <w:b/>
          <w:bCs/>
          <w:szCs w:val="24"/>
        </w:rPr>
      </w:pPr>
    </w:p>
    <w:p w14:paraId="2479597C">
      <w:pPr>
        <w:spacing w:line="360" w:lineRule="auto"/>
        <w:outlineLvl w:val="9"/>
        <w:rPr>
          <w:rFonts w:ascii="Arial" w:hAnsi="Arial" w:cs="Arial"/>
          <w:b/>
          <w:bCs/>
          <w:szCs w:val="24"/>
        </w:rPr>
      </w:pPr>
    </w:p>
    <w:p w14:paraId="0F89EA9D">
      <w:pPr>
        <w:spacing w:line="360" w:lineRule="auto"/>
        <w:jc w:val="center"/>
        <w:outlineLvl w:val="9"/>
        <w:rPr>
          <w:rFonts w:ascii="Arial" w:hAnsi="Arial" w:cs="Arial"/>
          <w:b/>
          <w:bCs/>
          <w:sz w:val="28"/>
          <w:szCs w:val="24"/>
        </w:rPr>
      </w:pPr>
      <w:r>
        <w:rPr>
          <w:rFonts w:ascii="Arial" w:hAnsi="Arial" w:cs="Arial"/>
          <w:b/>
          <w:bCs/>
          <w:sz w:val="28"/>
          <w:szCs w:val="24"/>
        </w:rPr>
        <w:t>属于监狱企业的证明文件</w:t>
      </w:r>
    </w:p>
    <w:p w14:paraId="4DF00EBA">
      <w:pPr>
        <w:spacing w:line="360" w:lineRule="auto"/>
        <w:outlineLvl w:val="9"/>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outlineLvl w:val="9"/>
        <w:rPr>
          <w:rFonts w:ascii="Arial" w:hAnsi="Arial" w:cs="Arial"/>
          <w:b/>
          <w:bCs/>
          <w:szCs w:val="24"/>
        </w:rPr>
      </w:pPr>
    </w:p>
    <w:p w14:paraId="600444DC">
      <w:pPr>
        <w:spacing w:line="360" w:lineRule="auto"/>
        <w:outlineLvl w:val="9"/>
        <w:rPr>
          <w:rFonts w:ascii="Arial" w:hAnsi="Arial" w:cs="Arial"/>
          <w:b/>
          <w:bCs/>
          <w:szCs w:val="24"/>
        </w:rPr>
      </w:pPr>
    </w:p>
    <w:p w14:paraId="2BEB1E34">
      <w:pPr>
        <w:spacing w:line="360" w:lineRule="auto"/>
        <w:outlineLvl w:val="9"/>
        <w:rPr>
          <w:rFonts w:ascii="Arial" w:hAnsi="Arial" w:cs="Arial"/>
          <w:b/>
          <w:bCs/>
          <w:szCs w:val="24"/>
        </w:rPr>
      </w:pPr>
    </w:p>
    <w:p w14:paraId="3B141B6A">
      <w:pPr>
        <w:spacing w:line="360" w:lineRule="auto"/>
        <w:jc w:val="center"/>
        <w:outlineLvl w:val="9"/>
        <w:rPr>
          <w:rFonts w:ascii="Arial" w:hAnsi="Arial" w:cs="Arial"/>
          <w:b/>
          <w:bCs/>
          <w:szCs w:val="24"/>
        </w:rPr>
      </w:pPr>
      <w:r>
        <w:rPr>
          <w:rFonts w:ascii="Arial" w:hAnsi="Arial" w:cs="Arial"/>
          <w:b/>
          <w:bCs/>
          <w:sz w:val="28"/>
          <w:szCs w:val="24"/>
        </w:rPr>
        <w:t>节能产品认证证书</w:t>
      </w:r>
    </w:p>
    <w:p w14:paraId="24050418">
      <w:pPr>
        <w:spacing w:line="360" w:lineRule="auto"/>
        <w:outlineLvl w:val="9"/>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outlineLvl w:val="9"/>
        <w:rPr>
          <w:rFonts w:ascii="Arial" w:hAnsi="Arial" w:cs="Arial"/>
          <w:b/>
          <w:bCs/>
          <w:szCs w:val="24"/>
        </w:rPr>
      </w:pPr>
    </w:p>
    <w:p w14:paraId="668C78D8">
      <w:pPr>
        <w:spacing w:line="360" w:lineRule="auto"/>
        <w:outlineLvl w:val="9"/>
        <w:rPr>
          <w:rFonts w:ascii="Arial" w:hAnsi="Arial" w:cs="Arial"/>
          <w:b/>
          <w:bCs/>
          <w:szCs w:val="24"/>
        </w:rPr>
      </w:pPr>
    </w:p>
    <w:p w14:paraId="16AC5831">
      <w:pPr>
        <w:pStyle w:val="5"/>
      </w:pPr>
    </w:p>
    <w:p w14:paraId="415390B4">
      <w:pPr>
        <w:spacing w:line="360" w:lineRule="auto"/>
        <w:outlineLvl w:val="9"/>
        <w:rPr>
          <w:rFonts w:ascii="Arial" w:hAnsi="Arial" w:cs="Arial"/>
          <w:b/>
          <w:bCs/>
          <w:szCs w:val="24"/>
        </w:rPr>
      </w:pPr>
    </w:p>
    <w:p w14:paraId="2534B670">
      <w:pPr>
        <w:spacing w:line="360" w:lineRule="auto"/>
        <w:jc w:val="center"/>
        <w:outlineLvl w:val="9"/>
        <w:rPr>
          <w:rFonts w:ascii="Arial" w:hAnsi="Arial" w:cs="Arial"/>
          <w:b/>
          <w:bCs/>
          <w:szCs w:val="24"/>
        </w:rPr>
      </w:pPr>
      <w:r>
        <w:rPr>
          <w:rFonts w:ascii="Arial" w:hAnsi="Arial" w:cs="Arial"/>
          <w:b/>
          <w:bCs/>
          <w:sz w:val="28"/>
          <w:szCs w:val="24"/>
        </w:rPr>
        <w:t>环境标志产品认证证书</w:t>
      </w:r>
    </w:p>
    <w:p w14:paraId="489B5750">
      <w:pPr>
        <w:spacing w:line="360" w:lineRule="auto"/>
        <w:outlineLvl w:val="9"/>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0D5D83CA">
      <w:pPr>
        <w:pStyle w:val="5"/>
        <w:rPr>
          <w:rFonts w:ascii="Arial" w:hAnsi="Arial" w:cs="Arial"/>
          <w:b/>
          <w:bCs/>
          <w:szCs w:val="24"/>
        </w:rPr>
      </w:pPr>
    </w:p>
    <w:p w14:paraId="6A0B08AA">
      <w:pPr>
        <w:pStyle w:val="3"/>
        <w:rPr>
          <w:rFonts w:ascii="Arial" w:hAnsi="Arial" w:cs="Arial"/>
          <w:b/>
          <w:bCs/>
          <w:szCs w:val="24"/>
        </w:rPr>
      </w:pPr>
    </w:p>
    <w:p w14:paraId="2B56A11A">
      <w:pPr>
        <w:pStyle w:val="3"/>
        <w:rPr>
          <w:rFonts w:ascii="Arial" w:hAnsi="Arial" w:cs="Arial"/>
          <w:b/>
          <w:bCs/>
          <w:szCs w:val="24"/>
        </w:rPr>
      </w:pPr>
    </w:p>
    <w:p w14:paraId="701AE87F">
      <w:pPr>
        <w:pStyle w:val="4"/>
        <w:jc w:val="center"/>
        <w:outlineLvl w:val="0"/>
        <w:rPr>
          <w:rFonts w:hint="eastAsia" w:ascii="黑体" w:hAnsi="Calibri" w:eastAsia="黑体" w:cs="Times New Roman"/>
          <w:b/>
          <w:bCs/>
          <w:kern w:val="44"/>
          <w:sz w:val="36"/>
          <w:szCs w:val="44"/>
          <w:lang w:val="en-US" w:eastAsia="zh-CN" w:bidi="ar-SA"/>
        </w:rPr>
      </w:pPr>
      <w:bookmarkStart w:id="23" w:name="_Toc20980"/>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bookmarkEnd w:id="23"/>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303302C2">
      <w:pPr>
        <w:pStyle w:val="6"/>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9E0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CC0D7">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1CC0D7">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p w14:paraId="1F57589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C006"/>
    <w:multiLevelType w:val="singleLevel"/>
    <w:tmpl w:val="35E8C0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C37575"/>
    <w:rsid w:val="01E44FDB"/>
    <w:rsid w:val="03704073"/>
    <w:rsid w:val="03E00AD0"/>
    <w:rsid w:val="048C5868"/>
    <w:rsid w:val="05A36F5B"/>
    <w:rsid w:val="05FE4339"/>
    <w:rsid w:val="084E7846"/>
    <w:rsid w:val="08803E0C"/>
    <w:rsid w:val="0949174C"/>
    <w:rsid w:val="09925D52"/>
    <w:rsid w:val="0BF57DE5"/>
    <w:rsid w:val="0D3F24B2"/>
    <w:rsid w:val="0FFC5BE6"/>
    <w:rsid w:val="112B6A46"/>
    <w:rsid w:val="1205547E"/>
    <w:rsid w:val="12E82452"/>
    <w:rsid w:val="15634011"/>
    <w:rsid w:val="17037E79"/>
    <w:rsid w:val="17C74D2B"/>
    <w:rsid w:val="18663AF8"/>
    <w:rsid w:val="18934C0E"/>
    <w:rsid w:val="1C422BD3"/>
    <w:rsid w:val="1EB911C2"/>
    <w:rsid w:val="1EE83EE8"/>
    <w:rsid w:val="1F460C2C"/>
    <w:rsid w:val="1F8E612F"/>
    <w:rsid w:val="1FCB4CA0"/>
    <w:rsid w:val="20E51C8A"/>
    <w:rsid w:val="22462ADA"/>
    <w:rsid w:val="22626529"/>
    <w:rsid w:val="22F32E79"/>
    <w:rsid w:val="253A4D8F"/>
    <w:rsid w:val="28325844"/>
    <w:rsid w:val="28B27332"/>
    <w:rsid w:val="2C1B4688"/>
    <w:rsid w:val="2C8A29B4"/>
    <w:rsid w:val="2CF3049A"/>
    <w:rsid w:val="2D26209C"/>
    <w:rsid w:val="2E2170F9"/>
    <w:rsid w:val="2E53E687"/>
    <w:rsid w:val="2F835584"/>
    <w:rsid w:val="2FAB63B7"/>
    <w:rsid w:val="30662EDC"/>
    <w:rsid w:val="32B140BD"/>
    <w:rsid w:val="33B71CA0"/>
    <w:rsid w:val="33D44600"/>
    <w:rsid w:val="34645984"/>
    <w:rsid w:val="35D001EC"/>
    <w:rsid w:val="39FB29A0"/>
    <w:rsid w:val="39FC21BB"/>
    <w:rsid w:val="3ACD1DA9"/>
    <w:rsid w:val="3B4144E0"/>
    <w:rsid w:val="3E7A7B93"/>
    <w:rsid w:val="3FF33501"/>
    <w:rsid w:val="3FF5582A"/>
    <w:rsid w:val="401D2F72"/>
    <w:rsid w:val="444B5F61"/>
    <w:rsid w:val="46561F2E"/>
    <w:rsid w:val="470B1C8F"/>
    <w:rsid w:val="47DC362C"/>
    <w:rsid w:val="48877A3B"/>
    <w:rsid w:val="490D15DF"/>
    <w:rsid w:val="4981448B"/>
    <w:rsid w:val="49CE76C5"/>
    <w:rsid w:val="4AEA6FB1"/>
    <w:rsid w:val="4B2B2900"/>
    <w:rsid w:val="4BBB5F63"/>
    <w:rsid w:val="4C6E1A1B"/>
    <w:rsid w:val="4D2F4E2E"/>
    <w:rsid w:val="4D387556"/>
    <w:rsid w:val="4EFB0528"/>
    <w:rsid w:val="4F3C3187"/>
    <w:rsid w:val="4F9A5963"/>
    <w:rsid w:val="502E016D"/>
    <w:rsid w:val="50CB0CDB"/>
    <w:rsid w:val="53164AB3"/>
    <w:rsid w:val="53CF1CDF"/>
    <w:rsid w:val="54520EFE"/>
    <w:rsid w:val="57666EC0"/>
    <w:rsid w:val="58613A3F"/>
    <w:rsid w:val="59561490"/>
    <w:rsid w:val="5A517E38"/>
    <w:rsid w:val="5B5E287E"/>
    <w:rsid w:val="5D513276"/>
    <w:rsid w:val="5DA54794"/>
    <w:rsid w:val="5EA068C3"/>
    <w:rsid w:val="615854D0"/>
    <w:rsid w:val="616109D2"/>
    <w:rsid w:val="62C03E1E"/>
    <w:rsid w:val="62CA6A4B"/>
    <w:rsid w:val="636A33B6"/>
    <w:rsid w:val="65CB064A"/>
    <w:rsid w:val="671E63FA"/>
    <w:rsid w:val="68D128E1"/>
    <w:rsid w:val="6BFF8A33"/>
    <w:rsid w:val="6C3F4006"/>
    <w:rsid w:val="6CCF5389"/>
    <w:rsid w:val="74C87F64"/>
    <w:rsid w:val="75FA0C5D"/>
    <w:rsid w:val="76051E1C"/>
    <w:rsid w:val="760F20EB"/>
    <w:rsid w:val="76223AEA"/>
    <w:rsid w:val="76AA441E"/>
    <w:rsid w:val="79ED6E4F"/>
    <w:rsid w:val="7B09494D"/>
    <w:rsid w:val="7B857DCC"/>
    <w:rsid w:val="7BF85F7F"/>
    <w:rsid w:val="7D7C33EF"/>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next w:val="1"/>
    <w:qFormat/>
    <w:uiPriority w:val="99"/>
    <w:pPr>
      <w:ind w:left="840"/>
    </w:pPr>
    <w:rPr>
      <w:sz w:val="28"/>
      <w:szCs w:val="24"/>
    </w:rPr>
  </w:style>
  <w:style w:type="paragraph" w:styleId="5">
    <w:name w:val="Plain Text"/>
    <w:basedOn w:val="1"/>
    <w:next w:val="3"/>
    <w:qFormat/>
    <w:uiPriority w:val="0"/>
    <w:rPr>
      <w:rFonts w:ascii="宋体" w:hAnsi="Courier New"/>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Hyperlink"/>
    <w:basedOn w:val="13"/>
    <w:qFormat/>
    <w:uiPriority w:val="0"/>
    <w:rPr>
      <w:color w:val="0000FF"/>
      <w:u w:val="single"/>
    </w:rPr>
  </w:style>
  <w:style w:type="character" w:styleId="17">
    <w:name w:val="footnote reference"/>
    <w:qFormat/>
    <w:uiPriority w:val="0"/>
    <w:rPr>
      <w:vertAlign w:val="superscript"/>
    </w:rPr>
  </w:style>
  <w:style w:type="paragraph" w:customStyle="1" w:styleId="18">
    <w:name w:val="No Spacing_ad81b47b-6779-4c76-b471-79375858c8cb"/>
    <w:basedOn w:val="1"/>
    <w:qFormat/>
    <w:uiPriority w:val="99"/>
    <w:pPr>
      <w:ind w:firstLine="200" w:firstLineChars="200"/>
    </w:pPr>
  </w:style>
  <w:style w:type="paragraph" w:customStyle="1" w:styleId="19">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2767</Words>
  <Characters>2851</Characters>
  <Lines>1</Lines>
  <Paragraphs>1</Paragraphs>
  <TotalTime>0</TotalTime>
  <ScaleCrop>false</ScaleCrop>
  <LinksUpToDate>false</LinksUpToDate>
  <CharactersWithSpaces>3852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2025-08-12T00:25:35Z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12F9271046DA1FD4008E5B679E85BF9E_43</vt:lpwstr>
  </property>
  <property fmtid="{D5CDD505-2E9C-101B-9397-08002B2CF9AE}" pid="4" name="KSOTemplateDocerSaveRecord">
    <vt:lpwstr>eyJoZGlkIjoiNzE4N2E1NjI4N2M3M2MyMGZkNzlhOGU0MWVkMjdiOGQiLCJ1c2VySWQiOiI0NDc5MjIzNTMifQ==</vt:lpwstr>
  </property>
</Properties>
</file>